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FE" w:rsidRDefault="00D82FFE" w:rsidP="00473324">
      <w:pPr>
        <w:jc w:val="center"/>
        <w:rPr>
          <w:sz w:val="28"/>
          <w:szCs w:val="28"/>
        </w:rPr>
      </w:pPr>
      <w:smartTag w:uri="urn:schemas-microsoft-com:office:smarttags" w:element="PlaceName">
        <w:smartTag w:uri="urn:schemas-microsoft-com:office:smarttags" w:element="place">
          <w:r>
            <w:rPr>
              <w:sz w:val="28"/>
              <w:szCs w:val="28"/>
            </w:rPr>
            <w:t>Nathan</w:t>
          </w:r>
        </w:smartTag>
        <w:r>
          <w:rPr>
            <w:sz w:val="28"/>
            <w:szCs w:val="28"/>
          </w:rPr>
          <w:t xml:space="preserve"> </w:t>
        </w:r>
        <w:smartTag w:uri="urn:schemas-microsoft-com:office:smarttags" w:element="PlaceName">
          <w:r>
            <w:rPr>
              <w:sz w:val="28"/>
              <w:szCs w:val="28"/>
            </w:rPr>
            <w:t>Littauer</w:t>
          </w:r>
        </w:smartTag>
        <w:r>
          <w:rPr>
            <w:sz w:val="28"/>
            <w:szCs w:val="28"/>
          </w:rPr>
          <w:t xml:space="preserve"> </w:t>
        </w:r>
        <w:smartTag w:uri="urn:schemas-microsoft-com:office:smarttags" w:element="PlaceType">
          <w:r>
            <w:rPr>
              <w:sz w:val="28"/>
              <w:szCs w:val="28"/>
            </w:rPr>
            <w:t>Hospital</w:t>
          </w:r>
        </w:smartTag>
      </w:smartTag>
      <w:r>
        <w:rPr>
          <w:sz w:val="28"/>
          <w:szCs w:val="28"/>
        </w:rPr>
        <w:t xml:space="preserve"> &amp; Nursing Home </w:t>
      </w:r>
    </w:p>
    <w:p w:rsidR="00D82FFE" w:rsidRDefault="00D82FFE" w:rsidP="00C9085B">
      <w:pPr>
        <w:jc w:val="center"/>
        <w:rPr>
          <w:sz w:val="28"/>
          <w:szCs w:val="28"/>
        </w:rPr>
      </w:pPr>
      <w:r w:rsidRPr="00C70359">
        <w:rPr>
          <w:sz w:val="28"/>
          <w:szCs w:val="28"/>
        </w:rPr>
        <w:t xml:space="preserve">Implementation </w:t>
      </w:r>
      <w:r>
        <w:rPr>
          <w:sz w:val="28"/>
          <w:szCs w:val="28"/>
        </w:rPr>
        <w:t xml:space="preserve">Strategy for Needs Identified </w:t>
      </w:r>
    </w:p>
    <w:p w:rsidR="00D82FFE" w:rsidRDefault="00D82FFE" w:rsidP="00C9085B">
      <w:pPr>
        <w:jc w:val="center"/>
        <w:rPr>
          <w:sz w:val="28"/>
          <w:szCs w:val="28"/>
        </w:rPr>
      </w:pPr>
      <w:proofErr w:type="gramStart"/>
      <w:r>
        <w:rPr>
          <w:sz w:val="28"/>
          <w:szCs w:val="28"/>
        </w:rPr>
        <w:t>in</w:t>
      </w:r>
      <w:proofErr w:type="gramEnd"/>
      <w:r>
        <w:rPr>
          <w:sz w:val="28"/>
          <w:szCs w:val="28"/>
        </w:rPr>
        <w:t xml:space="preserve"> </w:t>
      </w:r>
    </w:p>
    <w:p w:rsidR="00D82FFE" w:rsidRDefault="00D82FFE" w:rsidP="00C9085B">
      <w:pPr>
        <w:jc w:val="center"/>
        <w:rPr>
          <w:sz w:val="28"/>
          <w:szCs w:val="28"/>
        </w:rPr>
      </w:pPr>
      <w:r>
        <w:rPr>
          <w:sz w:val="28"/>
          <w:szCs w:val="28"/>
        </w:rPr>
        <w:t>2013 Community Health Needs Assessment</w:t>
      </w:r>
    </w:p>
    <w:p w:rsidR="00D82FFE" w:rsidRPr="009E0C95" w:rsidRDefault="00D82FFE" w:rsidP="002007AB">
      <w:pPr>
        <w:pStyle w:val="Heading1"/>
        <w:rPr>
          <w:color w:val="auto"/>
        </w:rPr>
      </w:pPr>
      <w:r w:rsidRPr="009E0C95">
        <w:rPr>
          <w:color w:val="auto"/>
        </w:rPr>
        <w:t>Introduction</w:t>
      </w:r>
    </w:p>
    <w:p w:rsidR="00D82FFE" w:rsidRDefault="00D82FFE" w:rsidP="002007AB">
      <w:pPr>
        <w:jc w:val="both"/>
        <w:rPr>
          <w:rFonts w:ascii="Arial" w:hAnsi="Arial" w:cs="Arial"/>
        </w:rPr>
      </w:pPr>
      <w:r>
        <w:rPr>
          <w:rFonts w:ascii="Arial" w:hAnsi="Arial" w:cs="Arial"/>
        </w:rPr>
        <w:t xml:space="preserve">Nathan Littauer Hospital (NLH) has prepared a Community Service Plan (CSP) to support the New York State Commissioner of Health’s mission to improve the health of all New Yorkers and to participate in new public health initiatives as related to the New York Prevention Agenda.  This initiative seeks to integrate traditional medical services with public health interventions that stimulate positive behavioral changes to improve health status.  We now are presenting our Implementation Strategy for the needs Identified in our 2013 Community Health Needs Assessment. </w:t>
      </w:r>
    </w:p>
    <w:p w:rsidR="00D82FFE" w:rsidRDefault="00D82FFE" w:rsidP="002007AB">
      <w:pPr>
        <w:jc w:val="both"/>
        <w:rPr>
          <w:rFonts w:ascii="Arial" w:hAnsi="Arial" w:cs="Arial"/>
        </w:rPr>
      </w:pPr>
      <w:r>
        <w:rPr>
          <w:rFonts w:ascii="Arial" w:hAnsi="Arial" w:cs="Arial"/>
        </w:rPr>
        <w:t>By participating in this public health effort, Nathan Littauer Hospital supports the overall goals of the New York State Health Department which are to focus on primary/secondary disease prevention, promote access to quality health care services and eliminate health care disparities where they exist.</w:t>
      </w:r>
    </w:p>
    <w:p w:rsidR="00D82FFE" w:rsidRDefault="00D82FFE" w:rsidP="002007AB">
      <w:pPr>
        <w:jc w:val="both"/>
        <w:rPr>
          <w:rFonts w:ascii="Arial" w:hAnsi="Arial" w:cs="Arial"/>
        </w:rPr>
      </w:pPr>
      <w:r>
        <w:rPr>
          <w:rFonts w:ascii="Arial" w:hAnsi="Arial" w:cs="Arial"/>
        </w:rPr>
        <w:t xml:space="preserve">Nathan Littauer is a proud member of the Adirondack Regional Health Network (ARHN) which creates a synergy that allows all of the members to move towards common goals in a way that is both efficient and effective.  ARHN provides a much needed forum for the various community partners to share resources and to collaborate on the development of each county’s Community Health Assessment and </w:t>
      </w:r>
      <w:proofErr w:type="gramStart"/>
      <w:r>
        <w:rPr>
          <w:rFonts w:ascii="Arial" w:hAnsi="Arial" w:cs="Arial"/>
        </w:rPr>
        <w:t>each</w:t>
      </w:r>
      <w:proofErr w:type="gramEnd"/>
      <w:r>
        <w:rPr>
          <w:rFonts w:ascii="Arial" w:hAnsi="Arial" w:cs="Arial"/>
        </w:rPr>
        <w:t xml:space="preserve"> hospital’s Community Service Plan.  To plan for the next 3 years, in 2013 ARHN prepared a comprehensive collection and analysis of data regarding the health issues and needs in Essex, Fulton, Hamilton, Saratoga, Warren and Washington counties. Additionally, AHRN presented to the hospital leadership May 23, 2013 to help the various departments fully understand the health needs of the region. And when we held a Stakeholders Conference, May 23, 2013 AHRN helped us in the planning and data collection stage. Many of these meetings were posted in real time to the hospital’s social media channels.  </w:t>
      </w:r>
    </w:p>
    <w:p w:rsidR="00D82FFE" w:rsidRDefault="00D82FFE" w:rsidP="002007AB">
      <w:pPr>
        <w:jc w:val="both"/>
        <w:rPr>
          <w:rFonts w:ascii="Arial" w:hAnsi="Arial" w:cs="Arial"/>
        </w:rPr>
      </w:pPr>
      <w:smartTag w:uri="urn:schemas-microsoft-com:office:smarttags" w:element="PlaceName">
        <w:r w:rsidRPr="00CB7E40">
          <w:rPr>
            <w:rFonts w:ascii="Arial" w:hAnsi="Arial" w:cs="Arial"/>
          </w:rPr>
          <w:t>Nathan</w:t>
        </w:r>
      </w:smartTag>
      <w:r w:rsidRPr="00CB7E40">
        <w:rPr>
          <w:rFonts w:ascii="Arial" w:hAnsi="Arial" w:cs="Arial"/>
        </w:rPr>
        <w:t xml:space="preserve"> </w:t>
      </w:r>
      <w:smartTag w:uri="urn:schemas-microsoft-com:office:smarttags" w:element="PlaceName">
        <w:r w:rsidRPr="00CB7E40">
          <w:rPr>
            <w:rFonts w:ascii="Arial" w:hAnsi="Arial" w:cs="Arial"/>
          </w:rPr>
          <w:t>Littauer</w:t>
        </w:r>
      </w:smartTag>
      <w:r w:rsidRPr="00CB7E40">
        <w:rPr>
          <w:rFonts w:ascii="Arial" w:hAnsi="Arial" w:cs="Arial"/>
        </w:rPr>
        <w:t xml:space="preserve"> </w:t>
      </w:r>
      <w:smartTag w:uri="urn:schemas-microsoft-com:office:smarttags" w:element="PlaceType">
        <w:r w:rsidRPr="00CB7E40">
          <w:rPr>
            <w:rFonts w:ascii="Arial" w:hAnsi="Arial" w:cs="Arial"/>
          </w:rPr>
          <w:t>Hospital</w:t>
        </w:r>
      </w:smartTag>
      <w:r w:rsidRPr="00CB7E40">
        <w:rPr>
          <w:rFonts w:ascii="Arial" w:hAnsi="Arial" w:cs="Arial"/>
        </w:rPr>
        <w:t xml:space="preserve"> and Nursing Home</w:t>
      </w:r>
      <w:r>
        <w:rPr>
          <w:rFonts w:ascii="Arial" w:hAnsi="Arial" w:cs="Arial"/>
        </w:rPr>
        <w:t xml:space="preserve">, opened in 1894, is the only hospital in </w:t>
      </w:r>
      <w:smartTag w:uri="urn:schemas-microsoft-com:office:smarttags" w:element="place">
        <w:smartTag w:uri="urn:schemas-microsoft-com:office:smarttags" w:element="PlaceName">
          <w:r>
            <w:rPr>
              <w:rFonts w:ascii="Arial" w:hAnsi="Arial" w:cs="Arial"/>
            </w:rPr>
            <w:t>Fulton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Located in </w:t>
      </w:r>
      <w:smartTag w:uri="urn:schemas-microsoft-com:office:smarttags" w:element="City">
        <w:r>
          <w:rPr>
            <w:rFonts w:ascii="Arial" w:hAnsi="Arial" w:cs="Arial"/>
          </w:rPr>
          <w:t>Gloversville</w:t>
        </w:r>
      </w:smartTag>
      <w:r>
        <w:rPr>
          <w:rFonts w:ascii="Arial" w:hAnsi="Arial" w:cs="Arial"/>
        </w:rPr>
        <w:t xml:space="preserve">, in the foothills of the </w:t>
      </w:r>
      <w:smartTag w:uri="urn:schemas-microsoft-com:office:smarttags" w:element="place">
        <w:r>
          <w:rPr>
            <w:rFonts w:ascii="Arial" w:hAnsi="Arial" w:cs="Arial"/>
          </w:rPr>
          <w:t>Adirondack Mountains</w:t>
        </w:r>
      </w:smartTag>
      <w:r>
        <w:rPr>
          <w:rFonts w:ascii="Arial" w:hAnsi="Arial" w:cs="Arial"/>
        </w:rPr>
        <w:t xml:space="preserve">, NLH </w:t>
      </w:r>
      <w:r w:rsidRPr="00CB7E40">
        <w:rPr>
          <w:rFonts w:ascii="Arial" w:hAnsi="Arial" w:cs="Arial"/>
        </w:rPr>
        <w:t>is a fully licensed and accredite</w:t>
      </w:r>
      <w:r>
        <w:rPr>
          <w:rFonts w:ascii="Arial" w:hAnsi="Arial" w:cs="Arial"/>
        </w:rPr>
        <w:t>d health care facility.</w:t>
      </w:r>
      <w:r w:rsidRPr="00CB7E40">
        <w:rPr>
          <w:rFonts w:ascii="Arial" w:hAnsi="Arial" w:cs="Arial"/>
        </w:rPr>
        <w:t xml:space="preserve">  We provide a wide array of services ranging from critical care to routine outpatient procedures</w:t>
      </w:r>
      <w:r>
        <w:rPr>
          <w:rFonts w:ascii="Arial" w:hAnsi="Arial" w:cs="Arial"/>
        </w:rPr>
        <w:t xml:space="preserve"> on our 34 acre campus. We have a 74-bed acute care hospital, an</w:t>
      </w:r>
      <w:r w:rsidRPr="00CB7E40">
        <w:rPr>
          <w:rFonts w:ascii="Arial" w:hAnsi="Arial" w:cs="Arial"/>
        </w:rPr>
        <w:t xml:space="preserve"> 84-bed residential Nursing Home, a </w:t>
      </w:r>
      <w:smartTag w:uri="urn:schemas-microsoft-com:office:smarttags" w:element="PlaceName">
        <w:r w:rsidRPr="00CB7E40">
          <w:rPr>
            <w:rFonts w:ascii="Arial" w:hAnsi="Arial" w:cs="Arial"/>
          </w:rPr>
          <w:t>Medical</w:t>
        </w:r>
      </w:smartTag>
      <w:r w:rsidRPr="00CB7E40">
        <w:rPr>
          <w:rFonts w:ascii="Arial" w:hAnsi="Arial" w:cs="Arial"/>
        </w:rPr>
        <w:t xml:space="preserve"> </w:t>
      </w:r>
      <w:smartTag w:uri="urn:schemas-microsoft-com:office:smarttags" w:element="PlaceName">
        <w:r w:rsidRPr="00CB7E40">
          <w:rPr>
            <w:rFonts w:ascii="Arial" w:hAnsi="Arial" w:cs="Arial"/>
          </w:rPr>
          <w:t>Arts</w:t>
        </w:r>
      </w:smartTag>
      <w:r w:rsidRPr="00CB7E40">
        <w:rPr>
          <w:rFonts w:ascii="Arial" w:hAnsi="Arial" w:cs="Arial"/>
        </w:rPr>
        <w:t xml:space="preserve"> </w:t>
      </w:r>
      <w:smartTag w:uri="urn:schemas-microsoft-com:office:smarttags" w:element="PlaceType">
        <w:r w:rsidRPr="00CB7E40">
          <w:rPr>
            <w:rFonts w:ascii="Arial" w:hAnsi="Arial" w:cs="Arial"/>
          </w:rPr>
          <w:t>Building</w:t>
        </w:r>
      </w:smartTag>
      <w:r w:rsidRPr="00CB7E40">
        <w:rPr>
          <w:rFonts w:ascii="Arial" w:hAnsi="Arial" w:cs="Arial"/>
        </w:rPr>
        <w:t xml:space="preserve">, state-of-the-art </w:t>
      </w:r>
      <w:smartTag w:uri="urn:schemas-microsoft-com:office:smarttags" w:element="place">
        <w:smartTag w:uri="urn:schemas-microsoft-com:office:smarttags" w:element="PlaceName">
          <w:r w:rsidRPr="00CB7E40">
            <w:rPr>
              <w:rFonts w:ascii="Arial" w:hAnsi="Arial" w:cs="Arial"/>
            </w:rPr>
            <w:t>Surgical</w:t>
          </w:r>
        </w:smartTag>
        <w:r w:rsidRPr="00CB7E40">
          <w:rPr>
            <w:rFonts w:ascii="Arial" w:hAnsi="Arial" w:cs="Arial"/>
          </w:rPr>
          <w:t xml:space="preserve"> </w:t>
        </w:r>
        <w:smartTag w:uri="urn:schemas-microsoft-com:office:smarttags" w:element="PlaceType">
          <w:r w:rsidRPr="00CB7E40">
            <w:rPr>
              <w:rFonts w:ascii="Arial" w:hAnsi="Arial" w:cs="Arial"/>
            </w:rPr>
            <w:t>Center</w:t>
          </w:r>
        </w:smartTag>
      </w:smartTag>
      <w:r w:rsidRPr="00CB7E40">
        <w:rPr>
          <w:rFonts w:ascii="Arial" w:hAnsi="Arial" w:cs="Arial"/>
        </w:rPr>
        <w:t xml:space="preserve"> and a Primary/Specialty Care Center.  Additional Primary/Specialty Care Centers are located in Mayfield, Speculator, </w:t>
      </w:r>
      <w:smartTag w:uri="urn:schemas-microsoft-com:office:smarttags" w:element="PlaceName">
        <w:r w:rsidRPr="00CB7E40">
          <w:rPr>
            <w:rFonts w:ascii="Arial" w:hAnsi="Arial" w:cs="Arial"/>
          </w:rPr>
          <w:t>Caroga</w:t>
        </w:r>
      </w:smartTag>
      <w:r w:rsidRPr="00CB7E40">
        <w:rPr>
          <w:rFonts w:ascii="Arial" w:hAnsi="Arial" w:cs="Arial"/>
        </w:rPr>
        <w:t xml:space="preserve"> </w:t>
      </w:r>
      <w:smartTag w:uri="urn:schemas-microsoft-com:office:smarttags" w:element="PlaceType">
        <w:r w:rsidRPr="00CB7E40">
          <w:rPr>
            <w:rFonts w:ascii="Arial" w:hAnsi="Arial" w:cs="Arial"/>
          </w:rPr>
          <w:t>Lake</w:t>
        </w:r>
      </w:smartTag>
      <w:r w:rsidRPr="00CB7E40">
        <w:rPr>
          <w:rFonts w:ascii="Arial" w:hAnsi="Arial" w:cs="Arial"/>
        </w:rPr>
        <w:t xml:space="preserve">, two in </w:t>
      </w:r>
      <w:smartTag w:uri="urn:schemas-microsoft-com:office:smarttags" w:element="City">
        <w:r w:rsidRPr="00CB7E40">
          <w:rPr>
            <w:rFonts w:ascii="Arial" w:hAnsi="Arial" w:cs="Arial"/>
          </w:rPr>
          <w:t>Johnstown</w:t>
        </w:r>
      </w:smartTag>
      <w:r w:rsidRPr="00CB7E40">
        <w:rPr>
          <w:rFonts w:ascii="Arial" w:hAnsi="Arial" w:cs="Arial"/>
        </w:rPr>
        <w:t xml:space="preserve">, Perth-Broadalbin and one additional location in </w:t>
      </w:r>
      <w:smartTag w:uri="urn:schemas-microsoft-com:office:smarttags" w:element="City">
        <w:smartTag w:uri="urn:schemas-microsoft-com:office:smarttags" w:element="place">
          <w:r w:rsidRPr="00CB7E40">
            <w:rPr>
              <w:rFonts w:ascii="Arial" w:hAnsi="Arial" w:cs="Arial"/>
            </w:rPr>
            <w:t>Gloversville</w:t>
          </w:r>
        </w:smartTag>
      </w:smartTag>
      <w:r w:rsidRPr="00CB7E40">
        <w:rPr>
          <w:rFonts w:ascii="Arial" w:hAnsi="Arial" w:cs="Arial"/>
        </w:rPr>
        <w:t xml:space="preserve">. </w:t>
      </w:r>
      <w:r>
        <w:rPr>
          <w:rFonts w:ascii="Arial" w:hAnsi="Arial" w:cs="Arial"/>
        </w:rPr>
        <w:t xml:space="preserve"> These locations provide unprecedented health care accessibility for the citizens</w:t>
      </w:r>
      <w:r w:rsidRPr="00CB7E40">
        <w:rPr>
          <w:rFonts w:ascii="Arial" w:hAnsi="Arial" w:cs="Arial"/>
        </w:rPr>
        <w:t xml:space="preserve"> </w:t>
      </w:r>
      <w:r>
        <w:rPr>
          <w:rFonts w:ascii="Arial" w:hAnsi="Arial" w:cs="Arial"/>
        </w:rPr>
        <w:t xml:space="preserve">of </w:t>
      </w:r>
      <w:smartTag w:uri="urn:schemas-microsoft-com:office:smarttags" w:element="City">
        <w:r>
          <w:rPr>
            <w:rFonts w:ascii="Arial" w:hAnsi="Arial" w:cs="Arial"/>
          </w:rPr>
          <w:t>Fulton</w:t>
        </w:r>
      </w:smartTag>
      <w:r>
        <w:rPr>
          <w:rFonts w:ascii="Arial" w:hAnsi="Arial" w:cs="Arial"/>
        </w:rPr>
        <w:t xml:space="preserve"> </w:t>
      </w:r>
      <w:r>
        <w:rPr>
          <w:rFonts w:ascii="Arial" w:hAnsi="Arial" w:cs="Arial"/>
        </w:rPr>
        <w:lastRenderedPageBreak/>
        <w:t xml:space="preserve">and southern </w:t>
      </w:r>
      <w:smartTag w:uri="urn:schemas-microsoft-com:office:smarttags" w:element="PlaceName">
        <w:smartTag w:uri="urn:schemas-microsoft-com:office:smarttags" w:element="place">
          <w:smartTag w:uri="urn:schemas-microsoft-com:office:smarttags" w:element="PlaceName">
            <w:r>
              <w:rPr>
                <w:rFonts w:ascii="Arial" w:hAnsi="Arial" w:cs="Arial"/>
              </w:rPr>
              <w:t>Hamilton</w:t>
            </w:r>
          </w:smartTag>
          <w:r>
            <w:rPr>
              <w:rFonts w:ascii="Arial" w:hAnsi="Arial" w:cs="Arial"/>
            </w:rPr>
            <w:t xml:space="preserve"> </w:t>
          </w:r>
          <w:smartTag w:uri="urn:schemas-microsoft-com:office:smarttags" w:element="PlaceType">
            <w:r>
              <w:rPr>
                <w:rFonts w:ascii="Arial" w:hAnsi="Arial" w:cs="Arial"/>
              </w:rPr>
              <w:t>Counties</w:t>
            </w:r>
          </w:smartTag>
        </w:smartTag>
      </w:smartTag>
      <w:r>
        <w:rPr>
          <w:rFonts w:ascii="Arial" w:hAnsi="Arial" w:cs="Arial"/>
        </w:rPr>
        <w:t>.  In fact, NLH has been a model in designing and delivering health care in a rural setting.</w:t>
      </w:r>
    </w:p>
    <w:p w:rsidR="00D82FFE" w:rsidRPr="00B32E68" w:rsidRDefault="00D82FFE" w:rsidP="002007AB">
      <w:pPr>
        <w:jc w:val="both"/>
        <w:rPr>
          <w:rFonts w:ascii="Arial" w:hAnsi="Arial" w:cs="Arial"/>
        </w:rPr>
      </w:pPr>
      <w:r w:rsidRPr="00263C44">
        <w:rPr>
          <w:rFonts w:ascii="Arial" w:hAnsi="Arial" w:cs="Arial"/>
        </w:rPr>
        <w:t xml:space="preserve">Today, we provide a full array of </w:t>
      </w:r>
      <w:r>
        <w:rPr>
          <w:rFonts w:ascii="Arial" w:hAnsi="Arial" w:cs="Arial"/>
        </w:rPr>
        <w:t>inpatient and outpatient</w:t>
      </w:r>
      <w:r w:rsidRPr="00263C44">
        <w:rPr>
          <w:rFonts w:ascii="Arial" w:hAnsi="Arial" w:cs="Arial"/>
        </w:rPr>
        <w:t xml:space="preserve"> services including</w:t>
      </w:r>
      <w:r>
        <w:rPr>
          <w:rFonts w:ascii="Arial" w:hAnsi="Arial" w:cs="Arial"/>
        </w:rPr>
        <w:t xml:space="preserve"> medical/surgical, pediatrics, ob/</w:t>
      </w:r>
      <w:proofErr w:type="spellStart"/>
      <w:r>
        <w:rPr>
          <w:rFonts w:ascii="Arial" w:hAnsi="Arial" w:cs="Arial"/>
        </w:rPr>
        <w:t>gyn</w:t>
      </w:r>
      <w:proofErr w:type="spellEnd"/>
      <w:r>
        <w:rPr>
          <w:rFonts w:ascii="Arial" w:hAnsi="Arial" w:cs="Arial"/>
        </w:rPr>
        <w:t>,</w:t>
      </w:r>
      <w:r w:rsidRPr="00263C44">
        <w:rPr>
          <w:rFonts w:ascii="Arial" w:hAnsi="Arial" w:cs="Arial"/>
        </w:rPr>
        <w:t xml:space="preserve"> nutritional counseling, oncology/infusion therapy, patient education, diabetic teaching, pain management, rehabilitative medicine, women’s health and respiratory care as well as CT scans, including PET and colonoscopy, nuclear medicine procedures and bone density testing.  </w:t>
      </w:r>
      <w:r>
        <w:rPr>
          <w:rFonts w:ascii="Arial" w:hAnsi="Arial" w:cs="Arial"/>
        </w:rPr>
        <w:t xml:space="preserve">We have added a robust orthopedic program in the past three years and regularly conduct ground-breaking spine surgeries with Dr. Jain Shen at the helm. </w:t>
      </w:r>
      <w:r w:rsidRPr="00263C44">
        <w:rPr>
          <w:rFonts w:ascii="Arial" w:hAnsi="Arial" w:cs="Arial"/>
        </w:rPr>
        <w:t>We utilize the stereotactic/</w:t>
      </w:r>
      <w:proofErr w:type="spellStart"/>
      <w:r w:rsidRPr="00263C44">
        <w:rPr>
          <w:rFonts w:ascii="Arial" w:hAnsi="Arial" w:cs="Arial"/>
        </w:rPr>
        <w:t>mammotome</w:t>
      </w:r>
      <w:proofErr w:type="spellEnd"/>
      <w:r w:rsidRPr="00263C44">
        <w:rPr>
          <w:rFonts w:ascii="Arial" w:hAnsi="Arial" w:cs="Arial"/>
        </w:rPr>
        <w:t xml:space="preserve"> breast biopsy system and digital mammography at our facility. Our Emergency Room is open 24 hours per day and sees most of the community’s emergent cases. We employ </w:t>
      </w:r>
      <w:r>
        <w:rPr>
          <w:rFonts w:ascii="Arial" w:hAnsi="Arial" w:cs="Arial"/>
        </w:rPr>
        <w:t xml:space="preserve">about 1000 employees. </w:t>
      </w:r>
      <w:r w:rsidRPr="00263C44">
        <w:rPr>
          <w:rFonts w:ascii="Arial" w:hAnsi="Arial" w:cs="Arial"/>
        </w:rPr>
        <w:t>We have 219 practitioners on staff, 161 of which are physicians.</w:t>
      </w:r>
      <w:r>
        <w:rPr>
          <w:rFonts w:ascii="Arial" w:hAnsi="Arial" w:cs="Arial"/>
        </w:rPr>
        <w:t xml:space="preserve">  Littauer is the second largest employer in </w:t>
      </w:r>
      <w:smartTag w:uri="urn:schemas-microsoft-com:office:smarttags" w:element="PlaceName">
        <w:r>
          <w:rPr>
            <w:rFonts w:ascii="Arial" w:hAnsi="Arial" w:cs="Arial"/>
          </w:rPr>
          <w:t>Fulton</w:t>
        </w:r>
      </w:smartTag>
      <w:r>
        <w:rPr>
          <w:rFonts w:ascii="Arial" w:hAnsi="Arial" w:cs="Arial"/>
        </w:rPr>
        <w:t xml:space="preserve"> </w:t>
      </w:r>
      <w:smartTag w:uri="urn:schemas-microsoft-com:office:smarttags" w:element="PlaceType">
        <w:r>
          <w:rPr>
            <w:rFonts w:ascii="Arial" w:hAnsi="Arial" w:cs="Arial"/>
          </w:rPr>
          <w:t>County</w:t>
        </w:r>
      </w:smartTag>
      <w:r>
        <w:rPr>
          <w:rFonts w:ascii="Arial" w:hAnsi="Arial" w:cs="Arial"/>
        </w:rPr>
        <w:t xml:space="preserve"> and our total economic impact on </w:t>
      </w:r>
      <w:smartTag w:uri="urn:schemas-microsoft-com:office:smarttags" w:element="place">
        <w:smartTag w:uri="urn:schemas-microsoft-com:office:smarttags" w:element="PlaceName">
          <w:r>
            <w:rPr>
              <w:rFonts w:ascii="Arial" w:hAnsi="Arial" w:cs="Arial"/>
            </w:rPr>
            <w:t>Fulton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exceeds $160,026,000 (as estimated by The Healthcare Association of New York State). </w:t>
      </w:r>
      <w:r w:rsidRPr="00B32E68">
        <w:rPr>
          <w:rFonts w:ascii="Arial" w:hAnsi="Arial" w:cs="Arial"/>
        </w:rPr>
        <w:t xml:space="preserve">This number is based on Institutional Cost Report (ICR) </w:t>
      </w:r>
      <w:r>
        <w:rPr>
          <w:rFonts w:ascii="Arial" w:hAnsi="Arial" w:cs="Arial"/>
        </w:rPr>
        <w:t xml:space="preserve">using </w:t>
      </w:r>
      <w:r w:rsidRPr="00B32E68">
        <w:rPr>
          <w:rFonts w:ascii="Arial" w:hAnsi="Arial" w:cs="Arial"/>
        </w:rPr>
        <w:t xml:space="preserve">data </w:t>
      </w:r>
      <w:r>
        <w:rPr>
          <w:rFonts w:ascii="Arial" w:hAnsi="Arial" w:cs="Arial"/>
        </w:rPr>
        <w:t xml:space="preserve">we </w:t>
      </w:r>
      <w:r w:rsidRPr="00B32E68">
        <w:rPr>
          <w:rFonts w:ascii="Arial" w:hAnsi="Arial" w:cs="Arial"/>
        </w:rPr>
        <w:t xml:space="preserve">supplied and the 2010 Federal Bureau of Economic Analysis multiplier. </w:t>
      </w:r>
    </w:p>
    <w:p w:rsidR="00D82FFE" w:rsidRPr="006F2BEF" w:rsidRDefault="00D82FFE" w:rsidP="006F2BEF">
      <w:pPr>
        <w:ind w:left="360"/>
        <w:jc w:val="both"/>
        <w:rPr>
          <w:rFonts w:ascii="Arial" w:hAnsi="Arial" w:cs="Arial"/>
        </w:rPr>
      </w:pPr>
      <w:r w:rsidRPr="006F2BEF">
        <w:rPr>
          <w:rFonts w:ascii="Arial" w:hAnsi="Arial" w:cs="Arial"/>
        </w:rPr>
        <w:t xml:space="preserve">We are governed by a </w:t>
      </w:r>
      <w:r w:rsidRPr="006F2BEF">
        <w:rPr>
          <w:rFonts w:ascii="Arial" w:hAnsi="Arial" w:cs="Arial"/>
          <w:b/>
        </w:rPr>
        <w:t>Board of Directors</w:t>
      </w:r>
      <w:r w:rsidRPr="006F2BEF">
        <w:rPr>
          <w:rFonts w:ascii="Arial" w:hAnsi="Arial" w:cs="Arial"/>
        </w:rPr>
        <w:t xml:space="preserve"> consisting of fifteen members who serve a three-year term in office.  The Board is comprised of physicians and members of the community who represent various professional designations.  No compensation is provided for these positions.  </w:t>
      </w:r>
    </w:p>
    <w:p w:rsidR="00D82FFE" w:rsidRDefault="00D82FFE" w:rsidP="00473324">
      <w:pPr>
        <w:ind w:left="360"/>
        <w:rPr>
          <w:sz w:val="24"/>
          <w:szCs w:val="24"/>
        </w:rPr>
      </w:pPr>
    </w:p>
    <w:p w:rsidR="00D82FFE" w:rsidRPr="00B96C81" w:rsidRDefault="00D82FFE" w:rsidP="002007AB">
      <w:pPr>
        <w:pStyle w:val="Heading1"/>
        <w:keepLines w:val="0"/>
        <w:spacing w:before="0" w:line="240" w:lineRule="auto"/>
        <w:ind w:left="360"/>
        <w:jc w:val="center"/>
        <w:rPr>
          <w:color w:val="E36C0A"/>
        </w:rPr>
      </w:pPr>
      <w:r w:rsidRPr="00B96C81">
        <w:rPr>
          <w:color w:val="E36C0A"/>
        </w:rPr>
        <w:t xml:space="preserve">Mission Statement for </w:t>
      </w:r>
      <w:smartTag w:uri="urn:schemas-microsoft-com:office:smarttags" w:element="place">
        <w:smartTag w:uri="urn:schemas-microsoft-com:office:smarttags" w:element="PlaceName">
          <w:r w:rsidRPr="00B96C81">
            <w:rPr>
              <w:color w:val="E36C0A"/>
            </w:rPr>
            <w:t>Nathan</w:t>
          </w:r>
        </w:smartTag>
        <w:r w:rsidRPr="00B96C81">
          <w:rPr>
            <w:color w:val="E36C0A"/>
          </w:rPr>
          <w:t xml:space="preserve"> </w:t>
        </w:r>
        <w:smartTag w:uri="urn:schemas-microsoft-com:office:smarttags" w:element="PlaceName">
          <w:r w:rsidRPr="00B96C81">
            <w:rPr>
              <w:color w:val="E36C0A"/>
            </w:rPr>
            <w:t>Littauer</w:t>
          </w:r>
        </w:smartTag>
        <w:r w:rsidRPr="00B96C81">
          <w:rPr>
            <w:color w:val="E36C0A"/>
          </w:rPr>
          <w:t xml:space="preserve"> </w:t>
        </w:r>
        <w:smartTag w:uri="urn:schemas-microsoft-com:office:smarttags" w:element="PlaceType">
          <w:r w:rsidRPr="00B96C81">
            <w:rPr>
              <w:color w:val="E36C0A"/>
            </w:rPr>
            <w:t>Hospital</w:t>
          </w:r>
        </w:smartTag>
      </w:smartTag>
    </w:p>
    <w:p w:rsidR="00D82FFE" w:rsidRPr="00047385" w:rsidRDefault="00D82FFE" w:rsidP="002007AB"/>
    <w:p w:rsidR="00D82FFE" w:rsidRPr="00F60CB7" w:rsidRDefault="00D82FFE" w:rsidP="002007AB">
      <w:pPr>
        <w:ind w:left="1440" w:right="810"/>
        <w:jc w:val="center"/>
        <w:rPr>
          <w:rFonts w:ascii="Arial" w:hAnsi="Arial"/>
          <w:i/>
        </w:rPr>
      </w:pPr>
      <w:r w:rsidRPr="00F60CB7">
        <w:rPr>
          <w:rFonts w:ascii="Arial" w:hAnsi="Arial"/>
          <w:i/>
        </w:rPr>
        <w:t>Nathan Littauer Hospital and Nursing Home and its Family of Health Services is committed to providing safe, high quality health and wellness services and improving the health of our communities in a caring, contemporary environment.</w:t>
      </w:r>
    </w:p>
    <w:p w:rsidR="00D82FFE" w:rsidRDefault="00D82FFE" w:rsidP="002007AB">
      <w:pPr>
        <w:jc w:val="center"/>
        <w:rPr>
          <w:rFonts w:ascii="Arial" w:hAnsi="Arial"/>
        </w:rPr>
      </w:pPr>
    </w:p>
    <w:p w:rsidR="00D82FFE" w:rsidRPr="00921C42" w:rsidRDefault="00D82FFE" w:rsidP="002007AB">
      <w:pPr>
        <w:jc w:val="center"/>
        <w:rPr>
          <w:rFonts w:ascii="Arial" w:hAnsi="Arial"/>
        </w:rPr>
      </w:pPr>
      <w:r>
        <w:rPr>
          <w:rFonts w:ascii="Arial" w:hAnsi="Arial"/>
        </w:rPr>
        <w:t>This mission statement is reviewed annually by the Board of Directors.</w:t>
      </w:r>
    </w:p>
    <w:p w:rsidR="00D82FFE" w:rsidRDefault="00D82FFE" w:rsidP="002007AB">
      <w:pPr>
        <w:pStyle w:val="BodyText"/>
        <w:spacing w:after="120"/>
        <w:jc w:val="center"/>
        <w:rPr>
          <w:sz w:val="24"/>
        </w:rPr>
      </w:pPr>
    </w:p>
    <w:p w:rsidR="00D82FFE" w:rsidRDefault="00D82FFE" w:rsidP="002007AB">
      <w:pPr>
        <w:pStyle w:val="BodyText"/>
        <w:spacing w:after="120"/>
        <w:jc w:val="center"/>
        <w:rPr>
          <w:sz w:val="24"/>
        </w:rPr>
      </w:pPr>
    </w:p>
    <w:p w:rsidR="00D82FFE" w:rsidRDefault="00D82FFE" w:rsidP="002007AB">
      <w:pPr>
        <w:pStyle w:val="BodyText"/>
        <w:spacing w:after="120"/>
        <w:jc w:val="center"/>
        <w:rPr>
          <w:sz w:val="24"/>
        </w:rPr>
      </w:pPr>
    </w:p>
    <w:p w:rsidR="00D82FFE" w:rsidRDefault="00D82FFE" w:rsidP="002007AB">
      <w:pPr>
        <w:pStyle w:val="BodyText"/>
        <w:spacing w:after="120"/>
        <w:jc w:val="center"/>
        <w:rPr>
          <w:sz w:val="24"/>
        </w:rPr>
      </w:pPr>
    </w:p>
    <w:p w:rsidR="00D82FFE" w:rsidRDefault="00D82FFE" w:rsidP="002007AB">
      <w:pPr>
        <w:pStyle w:val="BodyText"/>
        <w:spacing w:after="120"/>
        <w:jc w:val="center"/>
        <w:rPr>
          <w:sz w:val="24"/>
        </w:rPr>
      </w:pPr>
    </w:p>
    <w:p w:rsidR="00D82FFE" w:rsidRDefault="00D82FFE" w:rsidP="002007AB">
      <w:pPr>
        <w:pStyle w:val="BodyText"/>
        <w:spacing w:after="120"/>
        <w:jc w:val="center"/>
        <w:rPr>
          <w:sz w:val="24"/>
        </w:rPr>
      </w:pPr>
    </w:p>
    <w:p w:rsidR="00D82FFE" w:rsidRDefault="00D82FFE" w:rsidP="002007AB">
      <w:pPr>
        <w:pStyle w:val="BodyText"/>
        <w:spacing w:after="120"/>
        <w:jc w:val="center"/>
        <w:rPr>
          <w:sz w:val="24"/>
        </w:rPr>
      </w:pPr>
    </w:p>
    <w:p w:rsidR="00D82FFE" w:rsidRDefault="00D82FFE" w:rsidP="002007AB">
      <w:pPr>
        <w:pStyle w:val="BodyText"/>
        <w:spacing w:after="120"/>
        <w:jc w:val="center"/>
        <w:rPr>
          <w:sz w:val="24"/>
        </w:rPr>
      </w:pPr>
    </w:p>
    <w:p w:rsidR="00D82FFE" w:rsidRPr="00B96C81" w:rsidRDefault="00D82FFE" w:rsidP="002007AB">
      <w:pPr>
        <w:pStyle w:val="Heading1"/>
        <w:keepLines w:val="0"/>
        <w:spacing w:before="0" w:line="240" w:lineRule="auto"/>
        <w:rPr>
          <w:color w:val="E36C0A"/>
        </w:rPr>
      </w:pPr>
      <w:smartTag w:uri="urn:schemas-microsoft-com:office:smarttags" w:element="place">
        <w:smartTag w:uri="urn:schemas-microsoft-com:office:smarttags" w:element="PlaceName">
          <w:r w:rsidRPr="00B96C81">
            <w:rPr>
              <w:color w:val="E36C0A"/>
            </w:rPr>
            <w:t>Nathan</w:t>
          </w:r>
        </w:smartTag>
        <w:r w:rsidRPr="00B96C81">
          <w:rPr>
            <w:color w:val="E36C0A"/>
          </w:rPr>
          <w:t xml:space="preserve"> </w:t>
        </w:r>
        <w:smartTag w:uri="urn:schemas-microsoft-com:office:smarttags" w:element="PlaceName">
          <w:r w:rsidRPr="00B96C81">
            <w:rPr>
              <w:color w:val="E36C0A"/>
            </w:rPr>
            <w:t>Littauer</w:t>
          </w:r>
        </w:smartTag>
        <w:r w:rsidRPr="00B96C81">
          <w:rPr>
            <w:color w:val="E36C0A"/>
          </w:rPr>
          <w:t xml:space="preserve"> </w:t>
        </w:r>
        <w:smartTag w:uri="urn:schemas-microsoft-com:office:smarttags" w:element="PlaceType">
          <w:r w:rsidRPr="00B96C81">
            <w:rPr>
              <w:color w:val="E36C0A"/>
            </w:rPr>
            <w:t>Hospital</w:t>
          </w:r>
        </w:smartTag>
      </w:smartTag>
      <w:r w:rsidRPr="00B96C81">
        <w:rPr>
          <w:color w:val="E36C0A"/>
        </w:rPr>
        <w:t xml:space="preserve"> Service Area</w:t>
      </w:r>
    </w:p>
    <w:p w:rsidR="00D82FFE" w:rsidRDefault="00D82FFE" w:rsidP="002007AB">
      <w:pPr>
        <w:spacing w:after="120"/>
        <w:rPr>
          <w:rFonts w:ascii="Arial" w:hAnsi="Arial" w:cs="Arial"/>
        </w:rPr>
      </w:pPr>
      <w:r>
        <w:rPr>
          <w:rFonts w:ascii="Arial" w:hAnsi="Arial" w:cs="Arial"/>
        </w:rPr>
        <w:t xml:space="preserve">The service area for </w:t>
      </w:r>
      <w:smartTag w:uri="urn:schemas-microsoft-com:office:smarttags" w:element="PlaceName">
        <w:r>
          <w:rPr>
            <w:rFonts w:ascii="Arial" w:hAnsi="Arial" w:cs="Arial"/>
          </w:rPr>
          <w:t>Nathan</w:t>
        </w:r>
      </w:smartTag>
      <w:r>
        <w:rPr>
          <w:rFonts w:ascii="Arial" w:hAnsi="Arial" w:cs="Arial"/>
        </w:rPr>
        <w:t xml:space="preserve"> </w:t>
      </w:r>
      <w:smartTag w:uri="urn:schemas-microsoft-com:office:smarttags" w:element="PlaceName">
        <w:r>
          <w:rPr>
            <w:rFonts w:ascii="Arial" w:hAnsi="Arial" w:cs="Arial"/>
          </w:rPr>
          <w:t>Littauer</w:t>
        </w:r>
      </w:smartTag>
      <w:r>
        <w:rPr>
          <w:rFonts w:ascii="Arial" w:hAnsi="Arial" w:cs="Arial"/>
        </w:rPr>
        <w:t xml:space="preserve"> </w:t>
      </w:r>
      <w:smartTag w:uri="urn:schemas-microsoft-com:office:smarttags" w:element="PlaceType">
        <w:r>
          <w:rPr>
            <w:rFonts w:ascii="Arial" w:hAnsi="Arial" w:cs="Arial"/>
          </w:rPr>
          <w:t>Hospital</w:t>
        </w:r>
      </w:smartTag>
      <w:r>
        <w:rPr>
          <w:rFonts w:ascii="Arial" w:hAnsi="Arial" w:cs="Arial"/>
        </w:rPr>
        <w:t xml:space="preserve"> is composed of thirteen ZIP codes in </w:t>
      </w:r>
      <w:smartTag w:uri="urn:schemas-microsoft-com:office:smarttags" w:element="PlaceName">
        <w:r>
          <w:rPr>
            <w:rFonts w:ascii="Arial" w:hAnsi="Arial" w:cs="Arial"/>
          </w:rPr>
          <w:t>Fulton</w:t>
        </w:r>
      </w:smartTag>
      <w:r>
        <w:rPr>
          <w:rFonts w:ascii="Arial" w:hAnsi="Arial" w:cs="Arial"/>
        </w:rPr>
        <w:t xml:space="preserve"> </w:t>
      </w:r>
      <w:smartTag w:uri="urn:schemas-microsoft-com:office:smarttags" w:element="PlaceType">
        <w:r>
          <w:rPr>
            <w:rFonts w:ascii="Arial" w:hAnsi="Arial" w:cs="Arial"/>
          </w:rPr>
          <w:t>County</w:t>
        </w:r>
      </w:smartTag>
      <w:r>
        <w:rPr>
          <w:rFonts w:ascii="Arial" w:hAnsi="Arial" w:cs="Arial"/>
        </w:rPr>
        <w:t xml:space="preserve">, Southern Hamilton County and bordering areas of </w:t>
      </w:r>
      <w:smartTag w:uri="urn:schemas-microsoft-com:office:smarttags" w:element="PlaceName">
        <w:smartTag w:uri="urn:schemas-microsoft-com:office:smarttags" w:element="place">
          <w:smartTag w:uri="urn:schemas-microsoft-com:office:smarttags" w:element="PlaceName">
            <w:r>
              <w:rPr>
                <w:rFonts w:ascii="Arial" w:hAnsi="Arial" w:cs="Arial"/>
              </w:rPr>
              <w:t>Montgomery</w:t>
            </w:r>
          </w:smartTag>
          <w:r>
            <w:rPr>
              <w:rFonts w:ascii="Arial" w:hAnsi="Arial" w:cs="Arial"/>
            </w:rPr>
            <w:t xml:space="preserve"> </w:t>
          </w:r>
          <w:smartTag w:uri="urn:schemas-microsoft-com:office:smarttags" w:element="PlaceType">
            <w:r>
              <w:rPr>
                <w:rFonts w:ascii="Arial" w:hAnsi="Arial" w:cs="Arial"/>
              </w:rPr>
              <w:t>County</w:t>
            </w:r>
          </w:smartTag>
        </w:smartTag>
      </w:smartTag>
      <w:r>
        <w:rPr>
          <w:rFonts w:ascii="Arial" w:hAnsi="Arial" w:cs="Arial"/>
        </w:rPr>
        <w:t xml:space="preserve">. Historically, about 88% of </w:t>
      </w:r>
      <w:smartTag w:uri="urn:schemas-microsoft-com:office:smarttags" w:element="PlaceName">
        <w:smartTag w:uri="urn:schemas-microsoft-com:office:smarttags" w:element="place">
          <w:smartTag w:uri="urn:schemas-microsoft-com:office:smarttags" w:element="PlaceName">
            <w:r>
              <w:rPr>
                <w:rFonts w:ascii="Arial" w:hAnsi="Arial" w:cs="Arial"/>
              </w:rPr>
              <w:t>Nathan</w:t>
            </w:r>
          </w:smartTag>
          <w:r>
            <w:rPr>
              <w:rFonts w:ascii="Arial" w:hAnsi="Arial" w:cs="Arial"/>
            </w:rPr>
            <w:t xml:space="preserve"> </w:t>
          </w:r>
          <w:smartTag w:uri="urn:schemas-microsoft-com:office:smarttags" w:element="PlaceName">
            <w:r>
              <w:rPr>
                <w:rFonts w:ascii="Arial" w:hAnsi="Arial" w:cs="Arial"/>
              </w:rPr>
              <w:t>Littauer</w:t>
            </w:r>
          </w:smartTag>
          <w:r>
            <w:rPr>
              <w:rFonts w:ascii="Arial" w:hAnsi="Arial" w:cs="Arial"/>
            </w:rPr>
            <w:t xml:space="preserve"> </w:t>
          </w:r>
          <w:smartTag w:uri="urn:schemas-microsoft-com:office:smarttags" w:element="PlaceType">
            <w:r>
              <w:rPr>
                <w:rFonts w:ascii="Arial" w:hAnsi="Arial" w:cs="Arial"/>
              </w:rPr>
              <w:t>Hospital</w:t>
            </w:r>
          </w:smartTag>
        </w:smartTag>
      </w:smartTag>
      <w:r>
        <w:rPr>
          <w:rFonts w:ascii="Arial" w:hAnsi="Arial" w:cs="Arial"/>
        </w:rPr>
        <w:t xml:space="preserve">’s in-patients reside within this geography. </w:t>
      </w:r>
    </w:p>
    <w:p w:rsidR="00D82FFE" w:rsidRDefault="00D82FFE" w:rsidP="002007AB">
      <w:pPr>
        <w:spacing w:after="120"/>
        <w:jc w:val="center"/>
        <w:rPr>
          <w:rFonts w:ascii="Arial" w:hAnsi="Arial" w:cs="Arial"/>
          <w:b/>
        </w:rPr>
      </w:pPr>
    </w:p>
    <w:p w:rsidR="00D82FFE" w:rsidRDefault="00D82FFE" w:rsidP="002007AB">
      <w:pPr>
        <w:spacing w:after="120"/>
        <w:jc w:val="center"/>
        <w:rPr>
          <w:rFonts w:ascii="Arial" w:hAnsi="Arial" w:cs="Arial"/>
          <w:b/>
        </w:rPr>
      </w:pPr>
      <w:r>
        <w:rPr>
          <w:rFonts w:ascii="Arial" w:hAnsi="Arial" w:cs="Arial"/>
          <w:b/>
        </w:rPr>
        <w:t>Nathan Littauer Hospital’s</w:t>
      </w:r>
      <w:r w:rsidRPr="00D81B49">
        <w:rPr>
          <w:rFonts w:ascii="Arial" w:hAnsi="Arial" w:cs="Arial"/>
          <w:b/>
        </w:rPr>
        <w:t xml:space="preserve"> Service Area</w:t>
      </w:r>
      <w:r>
        <w:rPr>
          <w:rStyle w:val="FootnoteReference"/>
          <w:rFonts w:ascii="Arial" w:hAnsi="Arial" w:cs="Arial"/>
          <w:b/>
        </w:rPr>
        <w:t xml:space="preserve"> </w:t>
      </w:r>
    </w:p>
    <w:p w:rsidR="00D82FFE" w:rsidRDefault="00D82FFE" w:rsidP="002007AB">
      <w:pPr>
        <w:spacing w:after="120"/>
        <w:jc w:val="center"/>
        <w:rPr>
          <w:rFonts w:ascii="Arial" w:hAnsi="Arial" w:cs="Arial"/>
          <w:b/>
        </w:rPr>
      </w:pPr>
    </w:p>
    <w:p w:rsidR="00D82FFE" w:rsidRPr="00E437F7" w:rsidRDefault="00023FFE" w:rsidP="002007AB">
      <w:pPr>
        <w:spacing w:after="120"/>
        <w:jc w:val="center"/>
        <w:rPr>
          <w:rFonts w:ascii="Arial" w:hAnsi="Arial" w:cs="Arial"/>
          <w:b/>
        </w:rPr>
      </w:pPr>
      <w:r>
        <w:rPr>
          <w:noProof/>
        </w:rPr>
        <w:drawing>
          <wp:inline distT="0" distB="0" distL="0" distR="0">
            <wp:extent cx="5924550" cy="3600450"/>
            <wp:effectExtent l="19050" t="0" r="0" b="0"/>
            <wp:docPr id="1" name="Picture 0" descr="NLH Map for Insert 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LH Map for Insert 3.wmf"/>
                    <pic:cNvPicPr>
                      <a:picLocks noChangeAspect="1" noChangeArrowheads="1"/>
                    </pic:cNvPicPr>
                  </pic:nvPicPr>
                  <pic:blipFill>
                    <a:blip r:embed="rId7"/>
                    <a:srcRect/>
                    <a:stretch>
                      <a:fillRect/>
                    </a:stretch>
                  </pic:blipFill>
                  <pic:spPr bwMode="auto">
                    <a:xfrm>
                      <a:off x="0" y="0"/>
                      <a:ext cx="5924550" cy="3600450"/>
                    </a:xfrm>
                    <a:prstGeom prst="rect">
                      <a:avLst/>
                    </a:prstGeom>
                    <a:noFill/>
                    <a:ln w="9525">
                      <a:noFill/>
                      <a:miter lim="800000"/>
                      <a:headEnd/>
                      <a:tailEnd/>
                    </a:ln>
                  </pic:spPr>
                </pic:pic>
              </a:graphicData>
            </a:graphic>
          </wp:inline>
        </w:drawing>
      </w:r>
    </w:p>
    <w:p w:rsidR="00D82FFE" w:rsidRDefault="00D82FFE" w:rsidP="002007AB">
      <w:pPr>
        <w:spacing w:after="120"/>
        <w:rPr>
          <w:rFonts w:ascii="Arial" w:hAnsi="Arial" w:cs="Arial"/>
        </w:rPr>
      </w:pPr>
    </w:p>
    <w:p w:rsidR="00D82FFE" w:rsidRDefault="00D82FFE" w:rsidP="002007AB">
      <w:pPr>
        <w:spacing w:after="120"/>
        <w:rPr>
          <w:rFonts w:ascii="Arial" w:hAnsi="Arial" w:cs="Arial"/>
        </w:rPr>
      </w:pPr>
      <w:r w:rsidRPr="001443EE">
        <w:rPr>
          <w:rFonts w:ascii="Arial" w:hAnsi="Arial" w:cs="Arial"/>
        </w:rPr>
        <w:t xml:space="preserve">In 2012, 10,626 residents of </w:t>
      </w:r>
      <w:smartTag w:uri="urn:schemas-microsoft-com:office:smarttags" w:element="place">
        <w:smartTag w:uri="urn:schemas-microsoft-com:office:smarttags" w:element="PlaceName">
          <w:r w:rsidRPr="001443EE">
            <w:rPr>
              <w:rFonts w:ascii="Arial" w:hAnsi="Arial" w:cs="Arial"/>
            </w:rPr>
            <w:t>Nathan</w:t>
          </w:r>
        </w:smartTag>
        <w:r w:rsidRPr="001443EE">
          <w:rPr>
            <w:rFonts w:ascii="Arial" w:hAnsi="Arial" w:cs="Arial"/>
          </w:rPr>
          <w:t xml:space="preserve"> </w:t>
        </w:r>
        <w:smartTag w:uri="urn:schemas-microsoft-com:office:smarttags" w:element="PlaceName">
          <w:r w:rsidRPr="001443EE">
            <w:rPr>
              <w:rFonts w:ascii="Arial" w:hAnsi="Arial" w:cs="Arial"/>
            </w:rPr>
            <w:t>Littauer</w:t>
          </w:r>
        </w:smartTag>
        <w:r w:rsidRPr="001443EE">
          <w:rPr>
            <w:rFonts w:ascii="Arial" w:hAnsi="Arial" w:cs="Arial"/>
          </w:rPr>
          <w:t xml:space="preserve"> </w:t>
        </w:r>
        <w:smartTag w:uri="urn:schemas-microsoft-com:office:smarttags" w:element="PlaceType">
          <w:r w:rsidRPr="001443EE">
            <w:rPr>
              <w:rFonts w:ascii="Arial" w:hAnsi="Arial" w:cs="Arial"/>
            </w:rPr>
            <w:t>Hospital</w:t>
          </w:r>
        </w:smartTag>
      </w:smartTag>
      <w:r w:rsidRPr="001443EE">
        <w:rPr>
          <w:rFonts w:ascii="Arial" w:hAnsi="Arial" w:cs="Arial"/>
        </w:rPr>
        <w:t xml:space="preserve">’s service area required hospitalization.   Of this total, 2,864 (27.7%) were discharged from NLH.  </w:t>
      </w:r>
      <w:r>
        <w:rPr>
          <w:rFonts w:ascii="Arial" w:hAnsi="Arial" w:cs="Arial"/>
        </w:rPr>
        <w:t>(</w:t>
      </w:r>
      <w:r w:rsidRPr="001443EE">
        <w:rPr>
          <w:rFonts w:ascii="Arial" w:hAnsi="Arial" w:cs="Arial"/>
        </w:rPr>
        <w:t xml:space="preserve">Out-patients represent over 60% of NLH’s business but are not included.) The following table shows the patient discharge distribution by ZIP Code </w:t>
      </w:r>
      <w:r>
        <w:rPr>
          <w:rFonts w:ascii="Arial" w:hAnsi="Arial" w:cs="Arial"/>
        </w:rPr>
        <w:t xml:space="preserve">and socio-demographic data </w:t>
      </w:r>
      <w:r w:rsidRPr="001443EE">
        <w:rPr>
          <w:rFonts w:ascii="Arial" w:hAnsi="Arial" w:cs="Arial"/>
        </w:rPr>
        <w:t xml:space="preserve">for </w:t>
      </w:r>
      <w:smartTag w:uri="urn:schemas-microsoft-com:office:smarttags" w:element="place">
        <w:smartTag w:uri="urn:schemas-microsoft-com:office:smarttags" w:element="PlaceName">
          <w:r w:rsidRPr="001443EE">
            <w:rPr>
              <w:rFonts w:ascii="Arial" w:hAnsi="Arial" w:cs="Arial"/>
            </w:rPr>
            <w:t>Nathan</w:t>
          </w:r>
        </w:smartTag>
        <w:r w:rsidRPr="001443EE">
          <w:rPr>
            <w:rFonts w:ascii="Arial" w:hAnsi="Arial" w:cs="Arial"/>
          </w:rPr>
          <w:t xml:space="preserve"> </w:t>
        </w:r>
        <w:smartTag w:uri="urn:schemas-microsoft-com:office:smarttags" w:element="PlaceName">
          <w:r w:rsidRPr="001443EE">
            <w:rPr>
              <w:rFonts w:ascii="Arial" w:hAnsi="Arial" w:cs="Arial"/>
            </w:rPr>
            <w:t>Littauer</w:t>
          </w:r>
        </w:smartTag>
        <w:r w:rsidRPr="001443EE">
          <w:rPr>
            <w:rFonts w:ascii="Arial" w:hAnsi="Arial" w:cs="Arial"/>
          </w:rPr>
          <w:t xml:space="preserve"> </w:t>
        </w:r>
        <w:smartTag w:uri="urn:schemas-microsoft-com:office:smarttags" w:element="PlaceType">
          <w:r w:rsidRPr="001443EE">
            <w:rPr>
              <w:rFonts w:ascii="Arial" w:hAnsi="Arial" w:cs="Arial"/>
            </w:rPr>
            <w:t>Hospital</w:t>
          </w:r>
        </w:smartTag>
      </w:smartTag>
      <w:r>
        <w:rPr>
          <w:rFonts w:ascii="Arial" w:hAnsi="Arial" w:cs="Arial"/>
        </w:rPr>
        <w:t>:</w:t>
      </w:r>
    </w:p>
    <w:p w:rsidR="00D82FFE" w:rsidRDefault="00D82FFE" w:rsidP="002007AB">
      <w:pPr>
        <w:spacing w:after="120"/>
        <w:rPr>
          <w:rFonts w:ascii="Arial" w:hAnsi="Arial" w:cs="Arial"/>
        </w:rPr>
      </w:pPr>
    </w:p>
    <w:p w:rsidR="00D82FFE" w:rsidRDefault="00D82FFE" w:rsidP="002007AB">
      <w:pPr>
        <w:spacing w:after="120"/>
        <w:rPr>
          <w:rFonts w:ascii="Arial" w:hAnsi="Arial" w:cs="Arial"/>
        </w:rPr>
      </w:pPr>
    </w:p>
    <w:p w:rsidR="00D82FFE" w:rsidRDefault="00D82FFE" w:rsidP="002007AB">
      <w:pPr>
        <w:spacing w:after="120"/>
        <w:rPr>
          <w:rFonts w:ascii="Arial" w:hAnsi="Arial" w:cs="Arial"/>
        </w:rPr>
      </w:pPr>
    </w:p>
    <w:p w:rsidR="00D82FFE" w:rsidRDefault="00D82FFE" w:rsidP="002007AB">
      <w:pPr>
        <w:spacing w:after="120"/>
        <w:rPr>
          <w:rFonts w:ascii="Arial" w:hAnsi="Arial" w:cs="Arial"/>
        </w:rPr>
      </w:pPr>
    </w:p>
    <w:p w:rsidR="00D82FFE" w:rsidRPr="00B96C81" w:rsidRDefault="00D82FFE" w:rsidP="002007AB">
      <w:pPr>
        <w:pStyle w:val="Heading1"/>
        <w:rPr>
          <w:color w:val="E36C0A"/>
        </w:rPr>
      </w:pPr>
      <w:r>
        <w:rPr>
          <w:color w:val="E36C0A"/>
        </w:rPr>
        <w:t>20</w:t>
      </w:r>
      <w:r w:rsidRPr="00B96C81">
        <w:rPr>
          <w:color w:val="E36C0A"/>
        </w:rPr>
        <w:t xml:space="preserve">12 Patient Origins for </w:t>
      </w:r>
      <w:smartTag w:uri="urn:schemas-microsoft-com:office:smarttags" w:element="place">
        <w:smartTag w:uri="urn:schemas-microsoft-com:office:smarttags" w:element="PlaceName">
          <w:r w:rsidRPr="00B96C81">
            <w:rPr>
              <w:color w:val="E36C0A"/>
            </w:rPr>
            <w:t>Nathan</w:t>
          </w:r>
        </w:smartTag>
        <w:r w:rsidRPr="00B96C81">
          <w:rPr>
            <w:color w:val="E36C0A"/>
          </w:rPr>
          <w:t xml:space="preserve"> </w:t>
        </w:r>
        <w:smartTag w:uri="urn:schemas-microsoft-com:office:smarttags" w:element="PlaceName">
          <w:r w:rsidRPr="00B96C81">
            <w:rPr>
              <w:color w:val="E36C0A"/>
            </w:rPr>
            <w:t>Littauer</w:t>
          </w:r>
        </w:smartTag>
        <w:r w:rsidRPr="00B96C81">
          <w:rPr>
            <w:color w:val="E36C0A"/>
          </w:rPr>
          <w:t xml:space="preserve"> </w:t>
        </w:r>
        <w:smartTag w:uri="urn:schemas-microsoft-com:office:smarttags" w:element="PlaceType">
          <w:r w:rsidRPr="00B96C81">
            <w:rPr>
              <w:color w:val="E36C0A"/>
            </w:rPr>
            <w:t>Hospital</w:t>
          </w:r>
        </w:smartTag>
      </w:smartTag>
      <w:r w:rsidRPr="00B96C81">
        <w:rPr>
          <w:color w:val="E36C0A"/>
        </w:rPr>
        <w:t xml:space="preserve"> </w:t>
      </w:r>
    </w:p>
    <w:tbl>
      <w:tblPr>
        <w:tblW w:w="9281" w:type="dxa"/>
        <w:tblInd w:w="108" w:type="dxa"/>
        <w:tblLook w:val="00A0"/>
      </w:tblPr>
      <w:tblGrid>
        <w:gridCol w:w="1468"/>
        <w:gridCol w:w="52"/>
        <w:gridCol w:w="1720"/>
        <w:gridCol w:w="1260"/>
        <w:gridCol w:w="98"/>
        <w:gridCol w:w="1082"/>
        <w:gridCol w:w="54"/>
        <w:gridCol w:w="946"/>
        <w:gridCol w:w="1161"/>
        <w:gridCol w:w="259"/>
        <w:gridCol w:w="1036"/>
        <w:gridCol w:w="145"/>
      </w:tblGrid>
      <w:tr w:rsidR="00D82FFE" w:rsidRPr="002268A6" w:rsidTr="002007AB">
        <w:trPr>
          <w:trHeight w:val="240"/>
        </w:trPr>
        <w:tc>
          <w:tcPr>
            <w:tcW w:w="1520" w:type="dxa"/>
            <w:gridSpan w:val="2"/>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ZIP</w:t>
            </w:r>
          </w:p>
        </w:tc>
        <w:tc>
          <w:tcPr>
            <w:tcW w:w="2980" w:type="dxa"/>
            <w:gridSpan w:val="2"/>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 </w:t>
            </w:r>
          </w:p>
        </w:tc>
        <w:tc>
          <w:tcPr>
            <w:tcW w:w="2180" w:type="dxa"/>
            <w:gridSpan w:val="4"/>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Market Inpatients</w:t>
            </w:r>
          </w:p>
        </w:tc>
        <w:tc>
          <w:tcPr>
            <w:tcW w:w="1161" w:type="dxa"/>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Facility</w:t>
            </w:r>
          </w:p>
        </w:tc>
        <w:tc>
          <w:tcPr>
            <w:tcW w:w="1440" w:type="dxa"/>
            <w:gridSpan w:val="3"/>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Market</w:t>
            </w:r>
          </w:p>
        </w:tc>
      </w:tr>
      <w:tr w:rsidR="00D82FFE" w:rsidRPr="002268A6" w:rsidTr="002007AB">
        <w:trPr>
          <w:trHeight w:val="285"/>
        </w:trPr>
        <w:tc>
          <w:tcPr>
            <w:tcW w:w="1520" w:type="dxa"/>
            <w:gridSpan w:val="2"/>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Code</w:t>
            </w:r>
          </w:p>
        </w:tc>
        <w:tc>
          <w:tcPr>
            <w:tcW w:w="2980" w:type="dxa"/>
            <w:gridSpan w:val="2"/>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smartTag w:uri="urn:schemas-microsoft-com:office:smarttags" w:element="place">
              <w:smartTag w:uri="urn:schemas-microsoft-com:office:smarttags" w:element="PlaceName">
                <w:r w:rsidRPr="002268A6">
                  <w:rPr>
                    <w:rFonts w:ascii="Arial" w:hAnsi="Arial" w:cs="Arial"/>
                    <w:b/>
                    <w:bCs/>
                    <w:color w:val="FFFFFF"/>
                    <w:sz w:val="20"/>
                    <w:szCs w:val="20"/>
                  </w:rPr>
                  <w:t>ZIP</w:t>
                </w:r>
              </w:smartTag>
              <w:r w:rsidRPr="002268A6">
                <w:rPr>
                  <w:rFonts w:ascii="Arial" w:hAnsi="Arial" w:cs="Arial"/>
                  <w:b/>
                  <w:bCs/>
                  <w:color w:val="FFFFFF"/>
                  <w:sz w:val="20"/>
                  <w:szCs w:val="20"/>
                </w:rPr>
                <w:t xml:space="preserve"> </w:t>
              </w:r>
              <w:smartTag w:uri="urn:schemas-microsoft-com:office:smarttags" w:element="PlaceType">
                <w:r w:rsidRPr="002268A6">
                  <w:rPr>
                    <w:rFonts w:ascii="Arial" w:hAnsi="Arial" w:cs="Arial"/>
                    <w:b/>
                    <w:bCs/>
                    <w:color w:val="FFFFFF"/>
                    <w:sz w:val="20"/>
                    <w:szCs w:val="20"/>
                  </w:rPr>
                  <w:t>City</w:t>
                </w:r>
              </w:smartTag>
            </w:smartTag>
            <w:r w:rsidRPr="002268A6">
              <w:rPr>
                <w:rFonts w:ascii="Arial" w:hAnsi="Arial" w:cs="Arial"/>
                <w:b/>
                <w:bCs/>
                <w:color w:val="FFFFFF"/>
                <w:sz w:val="20"/>
                <w:szCs w:val="20"/>
              </w:rPr>
              <w:t xml:space="preserve"> Name</w:t>
            </w:r>
          </w:p>
        </w:tc>
        <w:tc>
          <w:tcPr>
            <w:tcW w:w="1180" w:type="dxa"/>
            <w:gridSpan w:val="2"/>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Count</w:t>
            </w:r>
          </w:p>
        </w:tc>
        <w:tc>
          <w:tcPr>
            <w:tcW w:w="1000" w:type="dxa"/>
            <w:gridSpan w:val="2"/>
            <w:tcBorders>
              <w:top w:val="nil"/>
              <w:left w:val="nil"/>
              <w:bottom w:val="nil"/>
              <w:right w:val="nil"/>
            </w:tcBorders>
            <w:shd w:val="clear" w:color="auto" w:fill="000080"/>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%Down</w:t>
            </w:r>
          </w:p>
        </w:tc>
        <w:tc>
          <w:tcPr>
            <w:tcW w:w="1161" w:type="dxa"/>
            <w:tcBorders>
              <w:top w:val="nil"/>
              <w:left w:val="nil"/>
              <w:bottom w:val="nil"/>
              <w:right w:val="nil"/>
            </w:tcBorders>
            <w:shd w:val="clear" w:color="auto" w:fill="000080"/>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Inpatients</w:t>
            </w:r>
          </w:p>
        </w:tc>
        <w:tc>
          <w:tcPr>
            <w:tcW w:w="1440" w:type="dxa"/>
            <w:gridSpan w:val="3"/>
            <w:tcBorders>
              <w:top w:val="nil"/>
              <w:left w:val="nil"/>
              <w:bottom w:val="nil"/>
              <w:right w:val="nil"/>
            </w:tcBorders>
            <w:shd w:val="clear" w:color="auto" w:fill="000080"/>
            <w:noWrap/>
            <w:vAlign w:val="bottom"/>
          </w:tcPr>
          <w:p w:rsidR="00D82FFE" w:rsidRPr="002268A6" w:rsidRDefault="00D82FFE" w:rsidP="00FB72A8">
            <w:pPr>
              <w:jc w:val="center"/>
              <w:rPr>
                <w:rFonts w:ascii="Arial" w:hAnsi="Arial" w:cs="Arial"/>
                <w:b/>
                <w:bCs/>
                <w:color w:val="FFFFFF"/>
                <w:sz w:val="20"/>
                <w:szCs w:val="20"/>
              </w:rPr>
            </w:pPr>
            <w:r w:rsidRPr="002268A6">
              <w:rPr>
                <w:rFonts w:ascii="Arial" w:hAnsi="Arial" w:cs="Arial"/>
                <w:b/>
                <w:bCs/>
                <w:color w:val="FFFFFF"/>
                <w:sz w:val="20"/>
                <w:szCs w:val="20"/>
              </w:rPr>
              <w:t>Share</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12139</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proofErr w:type="spellStart"/>
            <w:r w:rsidRPr="002268A6">
              <w:rPr>
                <w:rFonts w:ascii="Arial" w:hAnsi="Arial" w:cs="Arial"/>
                <w:b/>
                <w:bCs/>
                <w:color w:val="000000"/>
                <w:sz w:val="20"/>
                <w:szCs w:val="20"/>
              </w:rPr>
              <w:t>Piseco</w:t>
            </w:r>
            <w:proofErr w:type="spellEnd"/>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18</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0.2%</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9</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50.0%</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12078</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smartTag w:uri="urn:schemas-microsoft-com:office:smarttags" w:element="place">
              <w:smartTag w:uri="urn:schemas-microsoft-com:office:smarttags" w:element="City">
                <w:r w:rsidRPr="002268A6">
                  <w:rPr>
                    <w:rFonts w:ascii="Arial" w:hAnsi="Arial" w:cs="Arial"/>
                    <w:b/>
                    <w:bCs/>
                    <w:color w:val="000000"/>
                    <w:sz w:val="20"/>
                    <w:szCs w:val="20"/>
                  </w:rPr>
                  <w:t>Gloversville</w:t>
                </w:r>
              </w:smartTag>
            </w:smartTag>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3,526</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33.2%</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1,698</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48.2%</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12190</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r w:rsidRPr="002268A6">
              <w:rPr>
                <w:rFonts w:ascii="Arial" w:hAnsi="Arial" w:cs="Arial"/>
                <w:b/>
                <w:bCs/>
                <w:color w:val="000000"/>
                <w:sz w:val="20"/>
                <w:szCs w:val="20"/>
              </w:rPr>
              <w:t>Wells</w:t>
            </w:r>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81</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0.8%</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31</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38.3%</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12095</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smartTag w:uri="urn:schemas-microsoft-com:office:smarttags" w:element="place">
              <w:smartTag w:uri="urn:schemas-microsoft-com:office:smarttags" w:element="City">
                <w:r w:rsidRPr="002268A6">
                  <w:rPr>
                    <w:rFonts w:ascii="Arial" w:hAnsi="Arial" w:cs="Arial"/>
                    <w:b/>
                    <w:bCs/>
                    <w:color w:val="000000"/>
                    <w:sz w:val="20"/>
                    <w:szCs w:val="20"/>
                  </w:rPr>
                  <w:t>Johnstown</w:t>
                </w:r>
              </w:smartTag>
            </w:smartTag>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1,659</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15.6%</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636</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38.3%</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12117</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r w:rsidRPr="002268A6">
              <w:rPr>
                <w:rFonts w:ascii="Arial" w:hAnsi="Arial" w:cs="Arial"/>
                <w:b/>
                <w:bCs/>
                <w:color w:val="000000"/>
                <w:sz w:val="20"/>
                <w:szCs w:val="20"/>
              </w:rPr>
              <w:t>Mayfield</w:t>
            </w:r>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341</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3.2%</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127</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37.2%</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12164</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r w:rsidRPr="002268A6">
              <w:rPr>
                <w:rFonts w:ascii="Arial" w:hAnsi="Arial" w:cs="Arial"/>
                <w:b/>
                <w:bCs/>
                <w:color w:val="000000"/>
                <w:sz w:val="20"/>
                <w:szCs w:val="20"/>
              </w:rPr>
              <w:t>Speculator</w:t>
            </w:r>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44</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0.4%</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15</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34.1%</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12134</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r w:rsidRPr="002268A6">
              <w:rPr>
                <w:rFonts w:ascii="Arial" w:hAnsi="Arial" w:cs="Arial"/>
                <w:b/>
                <w:bCs/>
                <w:color w:val="000000"/>
                <w:sz w:val="20"/>
                <w:szCs w:val="20"/>
              </w:rPr>
              <w:t>Northville</w:t>
            </w:r>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414</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3.9%</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126</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30.4%</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12032</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smartTag w:uri="urn:schemas-microsoft-com:office:smarttags" w:element="place">
              <w:smartTag w:uri="urn:schemas-microsoft-com:office:smarttags" w:element="PlaceName">
                <w:r w:rsidRPr="002268A6">
                  <w:rPr>
                    <w:rFonts w:ascii="Arial" w:hAnsi="Arial" w:cs="Arial"/>
                    <w:b/>
                    <w:bCs/>
                    <w:color w:val="000000"/>
                    <w:sz w:val="20"/>
                    <w:szCs w:val="20"/>
                  </w:rPr>
                  <w:t>Caroga</w:t>
                </w:r>
              </w:smartTag>
              <w:r w:rsidRPr="002268A6">
                <w:rPr>
                  <w:rFonts w:ascii="Arial" w:hAnsi="Arial" w:cs="Arial"/>
                  <w:b/>
                  <w:bCs/>
                  <w:color w:val="000000"/>
                  <w:sz w:val="20"/>
                  <w:szCs w:val="20"/>
                </w:rPr>
                <w:t xml:space="preserve"> </w:t>
              </w:r>
              <w:smartTag w:uri="urn:schemas-microsoft-com:office:smarttags" w:element="PlaceType">
                <w:r w:rsidRPr="002268A6">
                  <w:rPr>
                    <w:rFonts w:ascii="Arial" w:hAnsi="Arial" w:cs="Arial"/>
                    <w:b/>
                    <w:bCs/>
                    <w:color w:val="000000"/>
                    <w:sz w:val="20"/>
                    <w:szCs w:val="20"/>
                  </w:rPr>
                  <w:t>Lake</w:t>
                </w:r>
              </w:smartTag>
            </w:smartTag>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136</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1.3%</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41</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30.1%</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12108</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smartTag w:uri="urn:schemas-microsoft-com:office:smarttags" w:element="place">
              <w:r w:rsidRPr="002268A6">
                <w:rPr>
                  <w:rFonts w:ascii="Arial" w:hAnsi="Arial" w:cs="Arial"/>
                  <w:b/>
                  <w:bCs/>
                  <w:color w:val="000000"/>
                  <w:sz w:val="20"/>
                  <w:szCs w:val="20"/>
                </w:rPr>
                <w:t>Lake</w:t>
              </w:r>
            </w:smartTag>
            <w:r w:rsidRPr="002268A6">
              <w:rPr>
                <w:rFonts w:ascii="Arial" w:hAnsi="Arial" w:cs="Arial"/>
                <w:b/>
                <w:bCs/>
                <w:color w:val="000000"/>
                <w:sz w:val="20"/>
                <w:szCs w:val="20"/>
              </w:rPr>
              <w:t xml:space="preserve"> Pleasant</w:t>
            </w:r>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48</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0.5%</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11</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22.9%</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13470</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smartTag w:uri="urn:schemas-microsoft-com:office:smarttags" w:element="place">
              <w:smartTag w:uri="urn:schemas-microsoft-com:office:smarttags" w:element="City">
                <w:r w:rsidRPr="002268A6">
                  <w:rPr>
                    <w:rFonts w:ascii="Arial" w:hAnsi="Arial" w:cs="Arial"/>
                    <w:b/>
                    <w:bCs/>
                    <w:color w:val="000000"/>
                    <w:sz w:val="20"/>
                    <w:szCs w:val="20"/>
                  </w:rPr>
                  <w:t>Stratford</w:t>
                </w:r>
              </w:smartTag>
            </w:smartTag>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48</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0.5%</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9</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18.8%</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12025</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r w:rsidRPr="002268A6">
              <w:rPr>
                <w:rFonts w:ascii="Arial" w:hAnsi="Arial" w:cs="Arial"/>
                <w:b/>
                <w:bCs/>
                <w:color w:val="000000"/>
                <w:sz w:val="20"/>
                <w:szCs w:val="20"/>
              </w:rPr>
              <w:t>Broadalbin</w:t>
            </w:r>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567</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5.3%</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89</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15.7%</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12010</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smartTag w:uri="urn:schemas-microsoft-com:office:smarttags" w:element="place">
              <w:smartTag w:uri="urn:schemas-microsoft-com:office:smarttags" w:element="City">
                <w:r w:rsidRPr="002268A6">
                  <w:rPr>
                    <w:rFonts w:ascii="Arial" w:hAnsi="Arial" w:cs="Arial"/>
                    <w:b/>
                    <w:bCs/>
                    <w:color w:val="000000"/>
                    <w:sz w:val="20"/>
                    <w:szCs w:val="20"/>
                  </w:rPr>
                  <w:t>Amsterdam</w:t>
                </w:r>
              </w:smartTag>
            </w:smartTag>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3,641</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34.3%</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72</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2.0%</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13454</w:t>
            </w: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smartTag w:uri="urn:schemas-microsoft-com:office:smarttags" w:element="place">
              <w:smartTag w:uri="urn:schemas-microsoft-com:office:smarttags" w:element="PlaceName">
                <w:r w:rsidRPr="002268A6">
                  <w:rPr>
                    <w:rFonts w:ascii="Arial" w:hAnsi="Arial" w:cs="Arial"/>
                    <w:b/>
                    <w:bCs/>
                    <w:color w:val="000000"/>
                    <w:sz w:val="20"/>
                    <w:szCs w:val="20"/>
                  </w:rPr>
                  <w:t>Salisbury</w:t>
                </w:r>
              </w:smartTag>
              <w:r w:rsidRPr="002268A6">
                <w:rPr>
                  <w:rFonts w:ascii="Arial" w:hAnsi="Arial" w:cs="Arial"/>
                  <w:b/>
                  <w:bCs/>
                  <w:color w:val="000000"/>
                  <w:sz w:val="20"/>
                  <w:szCs w:val="20"/>
                </w:rPr>
                <w:t xml:space="preserve"> </w:t>
              </w:r>
              <w:smartTag w:uri="urn:schemas-microsoft-com:office:smarttags" w:element="PlaceType">
                <w:r w:rsidRPr="002268A6">
                  <w:rPr>
                    <w:rFonts w:ascii="Arial" w:hAnsi="Arial" w:cs="Arial"/>
                    <w:b/>
                    <w:bCs/>
                    <w:color w:val="000000"/>
                    <w:sz w:val="20"/>
                    <w:szCs w:val="20"/>
                  </w:rPr>
                  <w:t>Center</w:t>
                </w:r>
              </w:smartTag>
            </w:smartTag>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103</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1.0%</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0</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0.0%</w:t>
            </w:r>
          </w:p>
        </w:tc>
      </w:tr>
      <w:tr w:rsidR="00D82FFE" w:rsidRPr="002268A6" w:rsidTr="002007AB">
        <w:trPr>
          <w:trHeight w:val="255"/>
        </w:trPr>
        <w:tc>
          <w:tcPr>
            <w:tcW w:w="152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p>
        </w:tc>
        <w:tc>
          <w:tcPr>
            <w:tcW w:w="2980" w:type="dxa"/>
            <w:gridSpan w:val="2"/>
            <w:tcBorders>
              <w:top w:val="nil"/>
              <w:left w:val="nil"/>
              <w:bottom w:val="nil"/>
              <w:right w:val="nil"/>
            </w:tcBorders>
            <w:vAlign w:val="bottom"/>
          </w:tcPr>
          <w:p w:rsidR="00D82FFE" w:rsidRPr="002268A6" w:rsidRDefault="00D82FFE" w:rsidP="00FB72A8">
            <w:pPr>
              <w:rPr>
                <w:rFonts w:ascii="Arial" w:hAnsi="Arial" w:cs="Arial"/>
                <w:b/>
                <w:bCs/>
                <w:color w:val="000000"/>
                <w:sz w:val="20"/>
                <w:szCs w:val="20"/>
              </w:rPr>
            </w:pPr>
          </w:p>
        </w:tc>
        <w:tc>
          <w:tcPr>
            <w:tcW w:w="118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10,626</w:t>
            </w:r>
          </w:p>
        </w:tc>
        <w:tc>
          <w:tcPr>
            <w:tcW w:w="1000" w:type="dxa"/>
            <w:gridSpan w:val="2"/>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100.0%</w:t>
            </w:r>
          </w:p>
        </w:tc>
        <w:tc>
          <w:tcPr>
            <w:tcW w:w="1161" w:type="dxa"/>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2,864</w:t>
            </w:r>
          </w:p>
        </w:tc>
        <w:tc>
          <w:tcPr>
            <w:tcW w:w="1440" w:type="dxa"/>
            <w:gridSpan w:val="3"/>
            <w:tcBorders>
              <w:top w:val="nil"/>
              <w:left w:val="nil"/>
              <w:bottom w:val="nil"/>
              <w:right w:val="nil"/>
            </w:tcBorders>
            <w:vAlign w:val="bottom"/>
          </w:tcPr>
          <w:p w:rsidR="00D82FFE" w:rsidRPr="002268A6" w:rsidRDefault="00D82FFE" w:rsidP="00FB72A8">
            <w:pPr>
              <w:jc w:val="right"/>
              <w:rPr>
                <w:rFonts w:ascii="Arial" w:hAnsi="Arial" w:cs="Arial"/>
                <w:b/>
                <w:bCs/>
                <w:color w:val="000000"/>
                <w:sz w:val="20"/>
                <w:szCs w:val="20"/>
              </w:rPr>
            </w:pPr>
            <w:r w:rsidRPr="002268A6">
              <w:rPr>
                <w:rFonts w:ascii="Arial" w:hAnsi="Arial" w:cs="Arial"/>
                <w:b/>
                <w:bCs/>
                <w:color w:val="000000"/>
                <w:sz w:val="20"/>
                <w:szCs w:val="20"/>
              </w:rPr>
              <w:t>27.0%</w:t>
            </w:r>
          </w:p>
        </w:tc>
      </w:tr>
      <w:tr w:rsidR="00D82FFE" w:rsidRPr="002268A6" w:rsidTr="002007AB">
        <w:trPr>
          <w:trHeight w:val="255"/>
        </w:trPr>
        <w:tc>
          <w:tcPr>
            <w:tcW w:w="1520" w:type="dxa"/>
            <w:gridSpan w:val="2"/>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2980" w:type="dxa"/>
            <w:gridSpan w:val="2"/>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180" w:type="dxa"/>
            <w:gridSpan w:val="2"/>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000" w:type="dxa"/>
            <w:gridSpan w:val="2"/>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2268A6" w:rsidTr="002007AB">
        <w:trPr>
          <w:trHeight w:val="255"/>
        </w:trPr>
        <w:tc>
          <w:tcPr>
            <w:tcW w:w="9281" w:type="dxa"/>
            <w:gridSpan w:val="12"/>
            <w:tcBorders>
              <w:top w:val="nil"/>
              <w:left w:val="nil"/>
              <w:bottom w:val="nil"/>
              <w:right w:val="nil"/>
            </w:tcBorders>
            <w:noWrap/>
            <w:vAlign w:val="bottom"/>
          </w:tcPr>
          <w:p w:rsidR="00D82FFE" w:rsidRPr="002007AB" w:rsidRDefault="00D82FFE" w:rsidP="00FB72A8">
            <w:pPr>
              <w:rPr>
                <w:rFonts w:ascii="Arial" w:hAnsi="Arial" w:cs="Arial"/>
                <w:bCs/>
                <w:sz w:val="12"/>
                <w:szCs w:val="12"/>
              </w:rPr>
            </w:pPr>
            <w:r w:rsidRPr="002007AB">
              <w:rPr>
                <w:rFonts w:ascii="Arial" w:hAnsi="Arial" w:cs="Arial"/>
                <w:bCs/>
                <w:sz w:val="12"/>
                <w:szCs w:val="12"/>
              </w:rPr>
              <w:t>Source of Facility &amp; Market Inpatient Data: Inpatient HANYS 01/01/2012 - 12/31/2012</w:t>
            </w:r>
          </w:p>
        </w:tc>
      </w:tr>
      <w:tr w:rsidR="00D82FFE" w:rsidRPr="002268A6" w:rsidTr="002007AB">
        <w:trPr>
          <w:trHeight w:val="255"/>
        </w:trPr>
        <w:tc>
          <w:tcPr>
            <w:tcW w:w="5680" w:type="dxa"/>
            <w:gridSpan w:val="6"/>
            <w:tcBorders>
              <w:top w:val="nil"/>
              <w:left w:val="nil"/>
              <w:bottom w:val="nil"/>
              <w:right w:val="nil"/>
            </w:tcBorders>
            <w:noWrap/>
            <w:vAlign w:val="bottom"/>
          </w:tcPr>
          <w:p w:rsidR="00D82FFE" w:rsidRPr="002007AB" w:rsidRDefault="00D82FFE" w:rsidP="00FB72A8">
            <w:pPr>
              <w:rPr>
                <w:rFonts w:ascii="Arial" w:hAnsi="Arial" w:cs="Arial"/>
                <w:bCs/>
                <w:sz w:val="12"/>
                <w:szCs w:val="12"/>
              </w:rPr>
            </w:pPr>
            <w:r w:rsidRPr="002007AB">
              <w:rPr>
                <w:rFonts w:ascii="Arial" w:hAnsi="Arial" w:cs="Arial"/>
                <w:bCs/>
                <w:sz w:val="12"/>
                <w:szCs w:val="12"/>
              </w:rPr>
              <w:t>Source of DRG Data: 3M APRDRG Modified Product Lines</w:t>
            </w:r>
          </w:p>
        </w:tc>
        <w:tc>
          <w:tcPr>
            <w:tcW w:w="100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2268A6" w:rsidTr="002007AB">
        <w:trPr>
          <w:trHeight w:val="255"/>
        </w:trPr>
        <w:tc>
          <w:tcPr>
            <w:tcW w:w="4500" w:type="dxa"/>
            <w:gridSpan w:val="4"/>
            <w:tcBorders>
              <w:top w:val="nil"/>
              <w:left w:val="nil"/>
              <w:bottom w:val="nil"/>
              <w:right w:val="nil"/>
            </w:tcBorders>
            <w:noWrap/>
            <w:vAlign w:val="bottom"/>
          </w:tcPr>
          <w:p w:rsidR="00D82FFE" w:rsidRPr="002007AB" w:rsidRDefault="00D82FFE" w:rsidP="00FB72A8">
            <w:pPr>
              <w:rPr>
                <w:rFonts w:ascii="Arial" w:hAnsi="Arial" w:cs="Arial"/>
                <w:bCs/>
                <w:sz w:val="12"/>
                <w:szCs w:val="12"/>
              </w:rPr>
            </w:pPr>
            <w:r w:rsidRPr="002007AB">
              <w:rPr>
                <w:rFonts w:ascii="Arial" w:hAnsi="Arial" w:cs="Arial"/>
                <w:bCs/>
                <w:sz w:val="12"/>
                <w:szCs w:val="12"/>
              </w:rPr>
              <w:t xml:space="preserve">** Report Excludes </w:t>
            </w:r>
            <w:smartTag w:uri="urn:schemas-microsoft-com:office:smarttags" w:element="place">
              <w:r w:rsidRPr="002007AB">
                <w:rPr>
                  <w:rFonts w:ascii="Arial" w:hAnsi="Arial" w:cs="Arial"/>
                  <w:bCs/>
                  <w:sz w:val="12"/>
                  <w:szCs w:val="12"/>
                </w:rPr>
                <w:t>Normal</w:t>
              </w:r>
            </w:smartTag>
            <w:r w:rsidRPr="002007AB">
              <w:rPr>
                <w:rFonts w:ascii="Arial" w:hAnsi="Arial" w:cs="Arial"/>
                <w:bCs/>
                <w:sz w:val="12"/>
                <w:szCs w:val="12"/>
              </w:rPr>
              <w:t xml:space="preserve"> Newborn DRGs</w:t>
            </w:r>
          </w:p>
        </w:tc>
        <w:tc>
          <w:tcPr>
            <w:tcW w:w="118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00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2268A6" w:rsidTr="002007AB">
        <w:trPr>
          <w:trHeight w:val="255"/>
        </w:trPr>
        <w:tc>
          <w:tcPr>
            <w:tcW w:w="4500" w:type="dxa"/>
            <w:gridSpan w:val="4"/>
            <w:tcBorders>
              <w:top w:val="nil"/>
              <w:left w:val="nil"/>
              <w:bottom w:val="nil"/>
              <w:right w:val="nil"/>
            </w:tcBorders>
            <w:noWrap/>
            <w:vAlign w:val="bottom"/>
          </w:tcPr>
          <w:p w:rsidR="00D82FFE" w:rsidRPr="002007AB" w:rsidRDefault="00D82FFE" w:rsidP="00FB72A8">
            <w:pPr>
              <w:rPr>
                <w:rFonts w:ascii="Arial" w:hAnsi="Arial" w:cs="Arial"/>
                <w:bCs/>
                <w:sz w:val="12"/>
                <w:szCs w:val="12"/>
              </w:rPr>
            </w:pPr>
            <w:r w:rsidRPr="002007AB">
              <w:rPr>
                <w:rFonts w:ascii="Arial" w:hAnsi="Arial" w:cs="Arial"/>
                <w:bCs/>
                <w:sz w:val="12"/>
                <w:szCs w:val="12"/>
              </w:rPr>
              <w:t>** Report Includes Invalid DRGs</w:t>
            </w:r>
          </w:p>
        </w:tc>
        <w:tc>
          <w:tcPr>
            <w:tcW w:w="118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00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2268A6" w:rsidTr="002007AB">
        <w:trPr>
          <w:trHeight w:val="255"/>
        </w:trPr>
        <w:tc>
          <w:tcPr>
            <w:tcW w:w="152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298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8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00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2268A6" w:rsidTr="002007AB">
        <w:trPr>
          <w:trHeight w:val="255"/>
        </w:trPr>
        <w:tc>
          <w:tcPr>
            <w:tcW w:w="4500" w:type="dxa"/>
            <w:gridSpan w:val="4"/>
            <w:tcBorders>
              <w:top w:val="nil"/>
              <w:left w:val="nil"/>
              <w:bottom w:val="nil"/>
              <w:right w:val="nil"/>
            </w:tcBorders>
            <w:noWrap/>
            <w:vAlign w:val="bottom"/>
          </w:tcPr>
          <w:p w:rsidR="00D82FFE" w:rsidRPr="002007AB" w:rsidRDefault="00D82FFE" w:rsidP="00FB72A8">
            <w:pPr>
              <w:rPr>
                <w:rFonts w:ascii="Arial" w:hAnsi="Arial" w:cs="Arial"/>
                <w:bCs/>
                <w:sz w:val="12"/>
                <w:szCs w:val="12"/>
              </w:rPr>
            </w:pPr>
            <w:r w:rsidRPr="002007AB">
              <w:rPr>
                <w:rFonts w:ascii="Arial" w:hAnsi="Arial" w:cs="Arial"/>
                <w:bCs/>
                <w:sz w:val="12"/>
                <w:szCs w:val="12"/>
              </w:rPr>
              <w:t>State Data Analyst 2.13</w:t>
            </w:r>
          </w:p>
        </w:tc>
        <w:tc>
          <w:tcPr>
            <w:tcW w:w="118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00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2268A6" w:rsidTr="002007AB">
        <w:trPr>
          <w:trHeight w:val="255"/>
        </w:trPr>
        <w:tc>
          <w:tcPr>
            <w:tcW w:w="1520" w:type="dxa"/>
            <w:gridSpan w:val="2"/>
            <w:tcBorders>
              <w:top w:val="nil"/>
              <w:left w:val="nil"/>
              <w:bottom w:val="nil"/>
              <w:right w:val="nil"/>
            </w:tcBorders>
            <w:noWrap/>
            <w:vAlign w:val="bottom"/>
          </w:tcPr>
          <w:p w:rsidR="00D82FFE" w:rsidRPr="002007AB" w:rsidRDefault="00D82FFE" w:rsidP="00FB72A8">
            <w:pPr>
              <w:rPr>
                <w:rFonts w:ascii="Arial" w:hAnsi="Arial" w:cs="Arial"/>
                <w:bCs/>
                <w:sz w:val="12"/>
                <w:szCs w:val="12"/>
              </w:rPr>
            </w:pPr>
            <w:r w:rsidRPr="002007AB">
              <w:rPr>
                <w:rFonts w:ascii="Arial" w:hAnsi="Arial" w:cs="Arial"/>
                <w:bCs/>
                <w:sz w:val="12"/>
                <w:szCs w:val="12"/>
              </w:rPr>
              <w:t>SDAT0156.SQP</w:t>
            </w:r>
          </w:p>
        </w:tc>
        <w:tc>
          <w:tcPr>
            <w:tcW w:w="298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8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000" w:type="dxa"/>
            <w:gridSpan w:val="2"/>
            <w:tcBorders>
              <w:top w:val="nil"/>
              <w:left w:val="nil"/>
              <w:bottom w:val="nil"/>
              <w:right w:val="nil"/>
            </w:tcBorders>
            <w:noWrap/>
            <w:vAlign w:val="bottom"/>
          </w:tcPr>
          <w:p w:rsidR="00D82FFE" w:rsidRPr="002007AB" w:rsidRDefault="00D82FFE" w:rsidP="00FB72A8">
            <w:pPr>
              <w:rPr>
                <w:rFonts w:ascii="Arial" w:hAnsi="Arial" w:cs="Arial"/>
                <w:sz w:val="12"/>
                <w:szCs w:val="12"/>
              </w:rPr>
            </w:pP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2268A6" w:rsidTr="002007AB">
        <w:trPr>
          <w:trHeight w:val="255"/>
        </w:trPr>
        <w:tc>
          <w:tcPr>
            <w:tcW w:w="6680" w:type="dxa"/>
            <w:gridSpan w:val="8"/>
            <w:tcBorders>
              <w:top w:val="nil"/>
              <w:left w:val="nil"/>
              <w:bottom w:val="nil"/>
              <w:right w:val="nil"/>
            </w:tcBorders>
            <w:noWrap/>
            <w:vAlign w:val="bottom"/>
          </w:tcPr>
          <w:p w:rsidR="00D82FFE" w:rsidRPr="002007AB" w:rsidRDefault="00D82FFE" w:rsidP="00FB72A8">
            <w:pPr>
              <w:rPr>
                <w:rFonts w:ascii="Arial" w:hAnsi="Arial" w:cs="Arial"/>
                <w:bCs/>
                <w:sz w:val="12"/>
                <w:szCs w:val="12"/>
              </w:rPr>
            </w:pPr>
            <w:r w:rsidRPr="002007AB">
              <w:rPr>
                <w:rFonts w:ascii="Arial" w:hAnsi="Arial" w:cs="Arial"/>
                <w:bCs/>
                <w:sz w:val="12"/>
                <w:szCs w:val="12"/>
              </w:rPr>
              <w:t xml:space="preserve">© 2013 The Nielsen Company, © 2013 </w:t>
            </w:r>
            <w:proofErr w:type="spellStart"/>
            <w:r w:rsidRPr="002007AB">
              <w:rPr>
                <w:rFonts w:ascii="Arial" w:hAnsi="Arial" w:cs="Arial"/>
                <w:bCs/>
                <w:sz w:val="12"/>
                <w:szCs w:val="12"/>
              </w:rPr>
              <w:t>Truven</w:t>
            </w:r>
            <w:proofErr w:type="spellEnd"/>
            <w:r w:rsidRPr="002007AB">
              <w:rPr>
                <w:rFonts w:ascii="Arial" w:hAnsi="Arial" w:cs="Arial"/>
                <w:bCs/>
                <w:sz w:val="12"/>
                <w:szCs w:val="12"/>
              </w:rPr>
              <w:t xml:space="preserve"> Health Analytics Inc.</w:t>
            </w:r>
          </w:p>
        </w:tc>
        <w:tc>
          <w:tcPr>
            <w:tcW w:w="1161" w:type="dxa"/>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c>
          <w:tcPr>
            <w:tcW w:w="1440" w:type="dxa"/>
            <w:gridSpan w:val="3"/>
            <w:tcBorders>
              <w:top w:val="nil"/>
              <w:left w:val="nil"/>
              <w:bottom w:val="nil"/>
              <w:right w:val="nil"/>
            </w:tcBorders>
            <w:noWrap/>
            <w:vAlign w:val="bottom"/>
          </w:tcPr>
          <w:p w:rsidR="00D82FFE" w:rsidRPr="002268A6" w:rsidRDefault="00D82FFE" w:rsidP="00FB72A8">
            <w:pPr>
              <w:rPr>
                <w:rFonts w:ascii="Arial" w:hAnsi="Arial" w:cs="Arial"/>
                <w:sz w:val="20"/>
                <w:szCs w:val="20"/>
              </w:rPr>
            </w:pPr>
          </w:p>
        </w:tc>
      </w:tr>
      <w:tr w:rsidR="00D82FFE" w:rsidRPr="00AB1250" w:rsidTr="002007AB">
        <w:trPr>
          <w:gridAfter w:val="1"/>
          <w:wAfter w:w="145" w:type="dxa"/>
          <w:trHeight w:val="240"/>
        </w:trPr>
        <w:tc>
          <w:tcPr>
            <w:tcW w:w="1468" w:type="dxa"/>
            <w:tcBorders>
              <w:top w:val="nil"/>
              <w:left w:val="nil"/>
              <w:bottom w:val="nil"/>
              <w:right w:val="nil"/>
            </w:tcBorders>
            <w:noWrap/>
            <w:vAlign w:val="bottom"/>
          </w:tcPr>
          <w:p w:rsidR="00D82FFE" w:rsidRPr="00AB1250" w:rsidRDefault="00D82FFE" w:rsidP="002007AB">
            <w:pPr>
              <w:spacing w:after="0" w:line="240" w:lineRule="auto"/>
              <w:rPr>
                <w:rFonts w:ascii="Arial" w:hAnsi="Arial" w:cs="Arial"/>
                <w:sz w:val="16"/>
                <w:szCs w:val="16"/>
              </w:rPr>
            </w:pPr>
          </w:p>
        </w:tc>
        <w:tc>
          <w:tcPr>
            <w:tcW w:w="1772" w:type="dxa"/>
            <w:gridSpan w:val="2"/>
            <w:tcBorders>
              <w:top w:val="nil"/>
              <w:left w:val="nil"/>
              <w:bottom w:val="nil"/>
              <w:right w:val="nil"/>
            </w:tcBorders>
            <w:noWrap/>
            <w:vAlign w:val="bottom"/>
          </w:tcPr>
          <w:p w:rsidR="00D82FFE" w:rsidRPr="00AB1250" w:rsidRDefault="00D82FFE" w:rsidP="00FB72A8">
            <w:pPr>
              <w:rPr>
                <w:rFonts w:ascii="Arial" w:hAnsi="Arial" w:cs="Arial"/>
                <w:sz w:val="16"/>
                <w:szCs w:val="16"/>
              </w:rPr>
            </w:pPr>
          </w:p>
        </w:tc>
        <w:tc>
          <w:tcPr>
            <w:tcW w:w="1358" w:type="dxa"/>
            <w:gridSpan w:val="2"/>
            <w:tcBorders>
              <w:top w:val="nil"/>
              <w:left w:val="nil"/>
              <w:bottom w:val="nil"/>
              <w:right w:val="nil"/>
            </w:tcBorders>
            <w:noWrap/>
            <w:vAlign w:val="bottom"/>
          </w:tcPr>
          <w:p w:rsidR="00D82FFE" w:rsidRPr="00AB1250" w:rsidRDefault="00D82FFE" w:rsidP="00FB72A8">
            <w:pPr>
              <w:rPr>
                <w:rFonts w:ascii="Arial" w:hAnsi="Arial" w:cs="Arial"/>
                <w:sz w:val="16"/>
                <w:szCs w:val="16"/>
              </w:rPr>
            </w:pPr>
          </w:p>
        </w:tc>
        <w:tc>
          <w:tcPr>
            <w:tcW w:w="1136" w:type="dxa"/>
            <w:gridSpan w:val="2"/>
            <w:tcBorders>
              <w:top w:val="nil"/>
              <w:left w:val="nil"/>
              <w:bottom w:val="nil"/>
              <w:right w:val="nil"/>
            </w:tcBorders>
            <w:noWrap/>
            <w:vAlign w:val="bottom"/>
          </w:tcPr>
          <w:p w:rsidR="00D82FFE" w:rsidRPr="00AB1250" w:rsidRDefault="00D82FFE" w:rsidP="00FB72A8">
            <w:pPr>
              <w:rPr>
                <w:rFonts w:ascii="Arial" w:hAnsi="Arial" w:cs="Arial"/>
                <w:sz w:val="16"/>
                <w:szCs w:val="16"/>
              </w:rPr>
            </w:pPr>
          </w:p>
        </w:tc>
        <w:tc>
          <w:tcPr>
            <w:tcW w:w="2366" w:type="dxa"/>
            <w:gridSpan w:val="3"/>
            <w:tcBorders>
              <w:top w:val="nil"/>
              <w:left w:val="nil"/>
              <w:bottom w:val="nil"/>
              <w:right w:val="nil"/>
            </w:tcBorders>
            <w:noWrap/>
            <w:vAlign w:val="bottom"/>
          </w:tcPr>
          <w:p w:rsidR="00D82FFE" w:rsidRPr="00AB1250" w:rsidRDefault="00D82FFE" w:rsidP="00FB72A8">
            <w:pPr>
              <w:rPr>
                <w:rFonts w:ascii="Arial" w:hAnsi="Arial" w:cs="Arial"/>
                <w:sz w:val="16"/>
                <w:szCs w:val="16"/>
              </w:rPr>
            </w:pPr>
          </w:p>
        </w:tc>
        <w:tc>
          <w:tcPr>
            <w:tcW w:w="1036" w:type="dxa"/>
            <w:tcBorders>
              <w:top w:val="nil"/>
              <w:left w:val="nil"/>
              <w:bottom w:val="nil"/>
              <w:right w:val="nil"/>
            </w:tcBorders>
            <w:noWrap/>
            <w:vAlign w:val="bottom"/>
          </w:tcPr>
          <w:p w:rsidR="00D82FFE" w:rsidRPr="00AB1250" w:rsidRDefault="00D82FFE" w:rsidP="00FB72A8">
            <w:pPr>
              <w:rPr>
                <w:rFonts w:ascii="Arial" w:hAnsi="Arial" w:cs="Arial"/>
                <w:sz w:val="16"/>
                <w:szCs w:val="16"/>
              </w:rPr>
            </w:pPr>
          </w:p>
        </w:tc>
      </w:tr>
    </w:tbl>
    <w:p w:rsidR="00D82FFE" w:rsidRDefault="00D82FFE" w:rsidP="00F27232">
      <w:pPr>
        <w:spacing w:afterLines="50"/>
        <w:jc w:val="both"/>
        <w:rPr>
          <w:rFonts w:ascii="Arial" w:hAnsi="Arial" w:cs="Arial"/>
        </w:rPr>
      </w:pPr>
      <w:r>
        <w:rPr>
          <w:rFonts w:ascii="Arial" w:hAnsi="Arial" w:cs="Arial"/>
        </w:rPr>
        <w:t xml:space="preserve">Based on estimates for 2013, by the Neilson Company, the population is expected to shrink to 81,185 people (-1.6%) within </w:t>
      </w:r>
      <w:smartTag w:uri="urn:schemas-microsoft-com:office:smarttags" w:element="place">
        <w:smartTag w:uri="urn:schemas-microsoft-com:office:smarttags" w:element="PlaceName">
          <w:r>
            <w:rPr>
              <w:rFonts w:ascii="Arial" w:hAnsi="Arial" w:cs="Arial"/>
            </w:rPr>
            <w:t>Nathan</w:t>
          </w:r>
        </w:smartTag>
        <w:r>
          <w:rPr>
            <w:rFonts w:ascii="Arial" w:hAnsi="Arial" w:cs="Arial"/>
          </w:rPr>
          <w:t xml:space="preserve"> </w:t>
        </w:r>
        <w:smartTag w:uri="urn:schemas-microsoft-com:office:smarttags" w:element="PlaceName">
          <w:r>
            <w:rPr>
              <w:rFonts w:ascii="Arial" w:hAnsi="Arial" w:cs="Arial"/>
            </w:rPr>
            <w:t>Littauer</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’s service area.  In 2010 82,291 people lived within our service area. Remarkably, people over the age of 65 constitute 17.7% of the population and children under the age of 15 also make up 17.7% of the population.  The average household income is $55,510 which is significantly lower than the national average of $69,637.  Ethnically, 87.2% of the population is white, non-Hispanic and 15.5% of the population has achieved an educational level of Bachelor’s degree or higher.  </w:t>
      </w:r>
    </w:p>
    <w:p w:rsidR="00D82FFE" w:rsidRPr="002007AB" w:rsidRDefault="00D82FFE" w:rsidP="002007AB">
      <w:pPr>
        <w:rPr>
          <w:b/>
          <w:color w:val="E36C0A"/>
          <w:sz w:val="28"/>
          <w:szCs w:val="28"/>
        </w:rPr>
      </w:pPr>
      <w:r w:rsidRPr="002007AB">
        <w:rPr>
          <w:b/>
          <w:color w:val="E36C0A"/>
          <w:sz w:val="28"/>
          <w:szCs w:val="28"/>
        </w:rPr>
        <w:t>Covered Facilities</w:t>
      </w:r>
    </w:p>
    <w:p w:rsidR="00D82FFE" w:rsidRPr="002007AB" w:rsidRDefault="00D82FFE" w:rsidP="002007AB">
      <w:pPr>
        <w:ind w:left="540"/>
        <w:rPr>
          <w:rFonts w:ascii="Arial" w:hAnsi="Arial" w:cs="Arial"/>
        </w:rPr>
      </w:pPr>
      <w:r w:rsidRPr="002007AB">
        <w:rPr>
          <w:rFonts w:ascii="Arial" w:hAnsi="Arial" w:cs="Arial"/>
        </w:rPr>
        <w:t xml:space="preserve">Nathan Littauer encompasses a comprehensive system spanning 60 miles that includes: </w:t>
      </w:r>
    </w:p>
    <w:p w:rsidR="00D82FFE" w:rsidRPr="009E0C95" w:rsidRDefault="00D82FFE" w:rsidP="002007AB">
      <w:pPr>
        <w:ind w:left="540"/>
        <w:rPr>
          <w:rFonts w:ascii="Arial" w:hAnsi="Arial" w:cs="Arial"/>
        </w:rPr>
      </w:pPr>
      <w:r w:rsidRPr="009E0C95">
        <w:rPr>
          <w:rFonts w:ascii="Arial" w:hAnsi="Arial" w:cs="Arial"/>
        </w:rPr>
        <w:t xml:space="preserve"> A 74 bed acute-care hospital</w:t>
      </w:r>
    </w:p>
    <w:p w:rsidR="00D82FFE" w:rsidRPr="009E0C95" w:rsidRDefault="00D82FFE" w:rsidP="002007AB">
      <w:pPr>
        <w:ind w:left="540"/>
        <w:rPr>
          <w:rFonts w:ascii="Arial" w:hAnsi="Arial" w:cs="Arial"/>
        </w:rPr>
      </w:pPr>
      <w:r w:rsidRPr="009E0C95">
        <w:rPr>
          <w:rFonts w:ascii="Arial" w:hAnsi="Arial" w:cs="Arial"/>
        </w:rPr>
        <w:t xml:space="preserve"> </w:t>
      </w:r>
      <w:r w:rsidR="001B5604" w:rsidRPr="009E0C95">
        <w:rPr>
          <w:rFonts w:ascii="Arial" w:hAnsi="Arial" w:cs="Arial"/>
        </w:rPr>
        <w:t>An</w:t>
      </w:r>
      <w:r w:rsidRPr="009E0C95">
        <w:rPr>
          <w:rFonts w:ascii="Arial" w:hAnsi="Arial" w:cs="Arial"/>
        </w:rPr>
        <w:t xml:space="preserve"> 84 bed nursing home </w:t>
      </w:r>
    </w:p>
    <w:p w:rsidR="00D82FFE" w:rsidRPr="009E0C95" w:rsidRDefault="00D82FFE" w:rsidP="002007AB">
      <w:pPr>
        <w:ind w:left="540"/>
        <w:rPr>
          <w:rFonts w:ascii="Arial" w:hAnsi="Arial" w:cs="Arial"/>
        </w:rPr>
      </w:pPr>
      <w:r w:rsidRPr="009E0C95">
        <w:rPr>
          <w:rFonts w:ascii="Arial" w:hAnsi="Arial" w:cs="Arial"/>
        </w:rPr>
        <w:t xml:space="preserve">An </w:t>
      </w:r>
      <w:r w:rsidR="009E0C95" w:rsidRPr="009E0C95">
        <w:rPr>
          <w:rFonts w:ascii="Arial" w:hAnsi="Arial" w:cs="Arial"/>
        </w:rPr>
        <w:t>offsite</w:t>
      </w:r>
      <w:r w:rsidRPr="009E0C95">
        <w:rPr>
          <w:rFonts w:ascii="Arial" w:hAnsi="Arial" w:cs="Arial"/>
        </w:rPr>
        <w:t xml:space="preserve"> community education center located in neighboring Johnstown</w:t>
      </w:r>
    </w:p>
    <w:p w:rsidR="00D82FFE" w:rsidRPr="009E0C95" w:rsidRDefault="00D82FFE" w:rsidP="002007AB">
      <w:pPr>
        <w:ind w:left="540"/>
        <w:rPr>
          <w:rFonts w:ascii="Arial" w:hAnsi="Arial" w:cs="Arial"/>
        </w:rPr>
      </w:pPr>
      <w:r w:rsidRPr="009E0C95">
        <w:rPr>
          <w:rFonts w:ascii="Arial" w:hAnsi="Arial" w:cs="Arial"/>
        </w:rPr>
        <w:t xml:space="preserve">Lifeline – </w:t>
      </w:r>
      <w:r w:rsidR="009E0C95">
        <w:rPr>
          <w:rFonts w:ascii="Arial" w:hAnsi="Arial" w:cs="Arial"/>
        </w:rPr>
        <w:t xml:space="preserve">A </w:t>
      </w:r>
      <w:r w:rsidRPr="009E0C95">
        <w:rPr>
          <w:rFonts w:ascii="Arial" w:hAnsi="Arial" w:cs="Arial"/>
        </w:rPr>
        <w:t>personal response system</w:t>
      </w:r>
      <w:r w:rsidR="009E0C95">
        <w:rPr>
          <w:rFonts w:ascii="Arial" w:hAnsi="Arial" w:cs="Arial"/>
        </w:rPr>
        <w:t xml:space="preserve"> located off site.</w:t>
      </w:r>
    </w:p>
    <w:p w:rsidR="00D82FFE" w:rsidRPr="009E0C95" w:rsidRDefault="00D82FFE" w:rsidP="002007AB">
      <w:pPr>
        <w:ind w:left="540"/>
        <w:rPr>
          <w:rFonts w:ascii="Arial" w:hAnsi="Arial" w:cs="Arial"/>
        </w:rPr>
      </w:pPr>
      <w:r w:rsidRPr="009E0C95">
        <w:rPr>
          <w:rFonts w:ascii="Arial" w:hAnsi="Arial" w:cs="Arial"/>
        </w:rPr>
        <w:t xml:space="preserve">An </w:t>
      </w:r>
      <w:r w:rsidR="009E0C95" w:rsidRPr="009E0C95">
        <w:rPr>
          <w:rFonts w:ascii="Arial" w:hAnsi="Arial" w:cs="Arial"/>
        </w:rPr>
        <w:t>offsite</w:t>
      </w:r>
      <w:r w:rsidRPr="009E0C95">
        <w:rPr>
          <w:rFonts w:ascii="Arial" w:hAnsi="Arial" w:cs="Arial"/>
        </w:rPr>
        <w:t>, outpatient surgery center located in Johnstown</w:t>
      </w:r>
    </w:p>
    <w:p w:rsidR="00D82FFE" w:rsidRPr="002007AB" w:rsidRDefault="00D82FFE" w:rsidP="002007AB">
      <w:pPr>
        <w:ind w:left="540"/>
        <w:rPr>
          <w:rFonts w:ascii="Arial" w:hAnsi="Arial" w:cs="Arial"/>
        </w:rPr>
      </w:pPr>
      <w:r w:rsidRPr="002007AB">
        <w:rPr>
          <w:rFonts w:ascii="Arial" w:hAnsi="Arial" w:cs="Arial"/>
        </w:rPr>
        <w:t>And the following primary/specialty care settings:</w:t>
      </w:r>
    </w:p>
    <w:p w:rsidR="00D82FFE" w:rsidRPr="002007AB" w:rsidRDefault="00D82FFE" w:rsidP="002007AB">
      <w:pPr>
        <w:pStyle w:val="ListParagraph"/>
        <w:numPr>
          <w:ilvl w:val="1"/>
          <w:numId w:val="25"/>
        </w:numPr>
        <w:ind w:left="0" w:firstLine="1530"/>
        <w:rPr>
          <w:rFonts w:ascii="Arial" w:hAnsi="Arial" w:cs="Arial"/>
        </w:rPr>
      </w:pPr>
      <w:smartTag w:uri="urn:schemas-microsoft-com:office:smarttags" w:element="place">
        <w:smartTag w:uri="urn:schemas-microsoft-com:office:smarttags" w:element="PlaceName">
          <w:r w:rsidRPr="002007AB">
            <w:rPr>
              <w:rFonts w:ascii="Arial" w:hAnsi="Arial" w:cs="Arial"/>
            </w:rPr>
            <w:t>Caroga</w:t>
          </w:r>
        </w:smartTag>
        <w:r w:rsidRPr="002007AB">
          <w:rPr>
            <w:rFonts w:ascii="Arial" w:hAnsi="Arial" w:cs="Arial"/>
          </w:rPr>
          <w:t xml:space="preserve"> </w:t>
        </w:r>
        <w:smartTag w:uri="urn:schemas-microsoft-com:office:smarttags" w:element="PlaceType">
          <w:r w:rsidRPr="002007AB">
            <w:rPr>
              <w:rFonts w:ascii="Arial" w:hAnsi="Arial" w:cs="Arial"/>
            </w:rPr>
            <w:t>Lake</w:t>
          </w:r>
        </w:smartTag>
      </w:smartTag>
    </w:p>
    <w:p w:rsidR="00D82FFE" w:rsidRPr="002007AB" w:rsidRDefault="00D82FFE" w:rsidP="002007AB">
      <w:pPr>
        <w:pStyle w:val="ListParagraph"/>
        <w:numPr>
          <w:ilvl w:val="1"/>
          <w:numId w:val="25"/>
        </w:numPr>
        <w:ind w:left="0" w:firstLine="1530"/>
        <w:rPr>
          <w:rFonts w:ascii="Arial" w:hAnsi="Arial" w:cs="Arial"/>
        </w:rPr>
      </w:pPr>
      <w:smartTag w:uri="urn:schemas-microsoft-com:office:smarttags" w:element="place">
        <w:smartTag w:uri="urn:schemas-microsoft-com:office:smarttags" w:element="City">
          <w:r w:rsidRPr="002007AB">
            <w:rPr>
              <w:rFonts w:ascii="Arial" w:hAnsi="Arial" w:cs="Arial"/>
            </w:rPr>
            <w:t>Gloversville</w:t>
          </w:r>
        </w:smartTag>
      </w:smartTag>
      <w:r w:rsidRPr="002007AB">
        <w:rPr>
          <w:rFonts w:ascii="Arial" w:hAnsi="Arial" w:cs="Arial"/>
        </w:rPr>
        <w:t xml:space="preserve">, Easterly </w:t>
      </w:r>
    </w:p>
    <w:p w:rsidR="00D82FFE" w:rsidRPr="002007AB" w:rsidRDefault="00D82FFE" w:rsidP="002007AB">
      <w:pPr>
        <w:pStyle w:val="ListParagraph"/>
        <w:numPr>
          <w:ilvl w:val="1"/>
          <w:numId w:val="25"/>
        </w:numPr>
        <w:ind w:left="0" w:firstLine="1530"/>
        <w:rPr>
          <w:rFonts w:ascii="Arial" w:hAnsi="Arial" w:cs="Arial"/>
        </w:rPr>
      </w:pPr>
      <w:smartTag w:uri="urn:schemas-microsoft-com:office:smarttags" w:element="place">
        <w:smartTag w:uri="urn:schemas-microsoft-com:office:smarttags" w:element="City">
          <w:r w:rsidRPr="002007AB">
            <w:rPr>
              <w:rFonts w:ascii="Arial" w:hAnsi="Arial" w:cs="Arial"/>
            </w:rPr>
            <w:t>Gloversville</w:t>
          </w:r>
        </w:smartTag>
      </w:smartTag>
    </w:p>
    <w:p w:rsidR="00D82FFE" w:rsidRPr="002007AB" w:rsidRDefault="00D82FFE" w:rsidP="002007AB">
      <w:pPr>
        <w:pStyle w:val="ListParagraph"/>
        <w:numPr>
          <w:ilvl w:val="1"/>
          <w:numId w:val="25"/>
        </w:numPr>
        <w:ind w:left="0" w:firstLine="1530"/>
        <w:rPr>
          <w:rFonts w:ascii="Arial" w:hAnsi="Arial" w:cs="Arial"/>
        </w:rPr>
      </w:pPr>
      <w:smartTag w:uri="urn:schemas-microsoft-com:office:smarttags" w:element="address">
        <w:smartTag w:uri="urn:schemas-microsoft-com:office:smarttags" w:element="Street">
          <w:r w:rsidRPr="002007AB">
            <w:rPr>
              <w:rFonts w:ascii="Arial" w:hAnsi="Arial" w:cs="Arial"/>
            </w:rPr>
            <w:t>Gloversville Steele Avenue</w:t>
          </w:r>
        </w:smartTag>
      </w:smartTag>
      <w:r w:rsidRPr="002007AB">
        <w:rPr>
          <w:rFonts w:ascii="Arial" w:hAnsi="Arial" w:cs="Arial"/>
        </w:rPr>
        <w:t xml:space="preserve"> </w:t>
      </w:r>
    </w:p>
    <w:p w:rsidR="00D82FFE" w:rsidRPr="002007AB" w:rsidRDefault="00D82FFE" w:rsidP="002007AB">
      <w:pPr>
        <w:pStyle w:val="ListParagraph"/>
        <w:numPr>
          <w:ilvl w:val="1"/>
          <w:numId w:val="25"/>
        </w:numPr>
        <w:ind w:left="0" w:firstLine="1530"/>
        <w:rPr>
          <w:rFonts w:ascii="Arial" w:hAnsi="Arial" w:cs="Arial"/>
        </w:rPr>
      </w:pPr>
      <w:smartTag w:uri="urn:schemas-microsoft-com:office:smarttags" w:element="place">
        <w:smartTag w:uri="urn:schemas-microsoft-com:office:smarttags" w:element="City">
          <w:r w:rsidRPr="002007AB">
            <w:rPr>
              <w:rFonts w:ascii="Arial" w:hAnsi="Arial" w:cs="Arial"/>
            </w:rPr>
            <w:t>Johnstown</w:t>
          </w:r>
        </w:smartTag>
      </w:smartTag>
      <w:r w:rsidRPr="002007AB">
        <w:rPr>
          <w:rFonts w:ascii="Arial" w:hAnsi="Arial" w:cs="Arial"/>
        </w:rPr>
        <w:t xml:space="preserve"> Primary Care </w:t>
      </w:r>
    </w:p>
    <w:p w:rsidR="00D82FFE" w:rsidRPr="002007AB" w:rsidRDefault="00D82FFE" w:rsidP="002007AB">
      <w:pPr>
        <w:pStyle w:val="ListParagraph"/>
        <w:numPr>
          <w:ilvl w:val="1"/>
          <w:numId w:val="25"/>
        </w:numPr>
        <w:ind w:left="0" w:firstLine="1530"/>
        <w:rPr>
          <w:rFonts w:ascii="Arial" w:hAnsi="Arial" w:cs="Arial"/>
        </w:rPr>
      </w:pPr>
      <w:smartTag w:uri="urn:schemas-microsoft-com:office:smarttags" w:element="place">
        <w:smartTag w:uri="urn:schemas-microsoft-com:office:smarttags" w:element="City">
          <w:r w:rsidRPr="002007AB">
            <w:rPr>
              <w:rFonts w:ascii="Arial" w:hAnsi="Arial" w:cs="Arial"/>
            </w:rPr>
            <w:t>Johnstown</w:t>
          </w:r>
        </w:smartTag>
      </w:smartTag>
      <w:r w:rsidRPr="002007AB">
        <w:rPr>
          <w:rFonts w:ascii="Arial" w:hAnsi="Arial" w:cs="Arial"/>
        </w:rPr>
        <w:t xml:space="preserve"> Pediatric Center</w:t>
      </w:r>
    </w:p>
    <w:p w:rsidR="00D82FFE" w:rsidRPr="002007AB" w:rsidRDefault="00D82FFE" w:rsidP="002007AB">
      <w:pPr>
        <w:pStyle w:val="ListParagraph"/>
        <w:numPr>
          <w:ilvl w:val="1"/>
          <w:numId w:val="25"/>
        </w:numPr>
        <w:ind w:left="0" w:firstLine="1530"/>
        <w:rPr>
          <w:rFonts w:ascii="Arial" w:hAnsi="Arial" w:cs="Arial"/>
        </w:rPr>
      </w:pPr>
      <w:r w:rsidRPr="002007AB">
        <w:rPr>
          <w:rFonts w:ascii="Arial" w:hAnsi="Arial" w:cs="Arial"/>
        </w:rPr>
        <w:t>Mayfield</w:t>
      </w:r>
    </w:p>
    <w:p w:rsidR="00D82FFE" w:rsidRPr="002007AB" w:rsidRDefault="00D82FFE" w:rsidP="002007AB">
      <w:pPr>
        <w:pStyle w:val="ListParagraph"/>
        <w:numPr>
          <w:ilvl w:val="1"/>
          <w:numId w:val="25"/>
        </w:numPr>
        <w:ind w:left="0" w:firstLine="1530"/>
        <w:rPr>
          <w:rFonts w:ascii="Arial" w:hAnsi="Arial" w:cs="Arial"/>
        </w:rPr>
      </w:pPr>
      <w:smartTag w:uri="urn:schemas-microsoft-com:office:smarttags" w:element="place">
        <w:smartTag w:uri="urn:schemas-microsoft-com:office:smarttags" w:element="City">
          <w:r w:rsidRPr="002007AB">
            <w:rPr>
              <w:rFonts w:ascii="Arial" w:hAnsi="Arial" w:cs="Arial"/>
            </w:rPr>
            <w:t>Perth</w:t>
          </w:r>
        </w:smartTag>
      </w:smartTag>
      <w:r w:rsidRPr="002007AB">
        <w:rPr>
          <w:rFonts w:ascii="Arial" w:hAnsi="Arial" w:cs="Arial"/>
        </w:rPr>
        <w:t xml:space="preserve"> </w:t>
      </w:r>
    </w:p>
    <w:p w:rsidR="00D82FFE" w:rsidRPr="002007AB" w:rsidRDefault="00D82FFE" w:rsidP="002007AB">
      <w:pPr>
        <w:pStyle w:val="ListParagraph"/>
        <w:numPr>
          <w:ilvl w:val="1"/>
          <w:numId w:val="25"/>
        </w:numPr>
        <w:ind w:left="0" w:firstLine="1530"/>
        <w:rPr>
          <w:rFonts w:ascii="Arial" w:hAnsi="Arial" w:cs="Arial"/>
        </w:rPr>
      </w:pPr>
      <w:r w:rsidRPr="002007AB">
        <w:rPr>
          <w:rFonts w:ascii="Arial" w:hAnsi="Arial" w:cs="Arial"/>
        </w:rPr>
        <w:t xml:space="preserve">Speculator </w:t>
      </w:r>
    </w:p>
    <w:p w:rsidR="00D82FFE" w:rsidRPr="002007AB" w:rsidRDefault="00D82FFE" w:rsidP="00473324">
      <w:pPr>
        <w:ind w:left="360"/>
        <w:rPr>
          <w:b/>
          <w:color w:val="E36C0A"/>
          <w:sz w:val="28"/>
          <w:szCs w:val="28"/>
        </w:rPr>
      </w:pPr>
      <w:r w:rsidRPr="002007AB">
        <w:rPr>
          <w:b/>
          <w:color w:val="E36C0A"/>
          <w:sz w:val="28"/>
          <w:szCs w:val="28"/>
        </w:rPr>
        <w:t xml:space="preserve">2013 Community Health Needs Assessment  </w:t>
      </w:r>
    </w:p>
    <w:p w:rsidR="00D82FFE" w:rsidRPr="002A1D85" w:rsidRDefault="00D82FFE" w:rsidP="002007AB">
      <w:pPr>
        <w:ind w:left="360"/>
        <w:jc w:val="both"/>
        <w:rPr>
          <w:rFonts w:ascii="Arial" w:hAnsi="Arial" w:cs="Arial"/>
          <w:color w:val="3366FF"/>
        </w:rPr>
      </w:pPr>
      <w:r w:rsidRPr="002007AB">
        <w:rPr>
          <w:rFonts w:ascii="Arial" w:hAnsi="Arial" w:cs="Arial"/>
        </w:rPr>
        <w:t>A community Health Needs Assessment (CHNA) was conducted in the spring of 2013 in collaboration with more than 15 par</w:t>
      </w:r>
      <w:r>
        <w:rPr>
          <w:rFonts w:ascii="Arial" w:hAnsi="Arial" w:cs="Arial"/>
        </w:rPr>
        <w:t>tners</w:t>
      </w:r>
      <w:r w:rsidRPr="002007AB">
        <w:rPr>
          <w:rFonts w:ascii="Arial" w:hAnsi="Arial" w:cs="Arial"/>
        </w:rPr>
        <w:t xml:space="preserve">, including </w:t>
      </w:r>
      <w:r>
        <w:rPr>
          <w:rFonts w:ascii="Arial" w:hAnsi="Arial" w:cs="Arial"/>
        </w:rPr>
        <w:t xml:space="preserve">the </w:t>
      </w:r>
      <w:r w:rsidRPr="002007AB">
        <w:rPr>
          <w:rFonts w:ascii="Arial" w:hAnsi="Arial" w:cs="Arial"/>
        </w:rPr>
        <w:t>region</w:t>
      </w:r>
      <w:r>
        <w:rPr>
          <w:rFonts w:ascii="Arial" w:hAnsi="Arial" w:cs="Arial"/>
        </w:rPr>
        <w:t>’</w:t>
      </w:r>
      <w:r w:rsidRPr="002007AB">
        <w:rPr>
          <w:rFonts w:ascii="Arial" w:hAnsi="Arial" w:cs="Arial"/>
        </w:rPr>
        <w:t xml:space="preserve">s hospitals and local health departments. The CHNA surveyed over 300 organizations and individuals to determine the most pressing health needs for the Adirondack region and specifically </w:t>
      </w:r>
      <w:smartTag w:uri="urn:schemas-microsoft-com:office:smarttags" w:element="City">
        <w:r w:rsidRPr="002007AB">
          <w:rPr>
            <w:rFonts w:ascii="Arial" w:hAnsi="Arial" w:cs="Arial"/>
          </w:rPr>
          <w:t>Fulton</w:t>
        </w:r>
      </w:smartTag>
      <w:r>
        <w:rPr>
          <w:rFonts w:ascii="Arial" w:hAnsi="Arial" w:cs="Arial"/>
        </w:rPr>
        <w:t xml:space="preserve"> and</w:t>
      </w:r>
      <w:r w:rsidRPr="002007AB">
        <w:rPr>
          <w:rFonts w:ascii="Arial" w:hAnsi="Arial" w:cs="Arial"/>
        </w:rPr>
        <w:t xml:space="preserve"> </w:t>
      </w:r>
      <w:smartTag w:uri="urn:schemas-microsoft-com:office:smarttags" w:element="place">
        <w:smartTag w:uri="urn:schemas-microsoft-com:office:smarttags" w:element="PlaceName">
          <w:r w:rsidRPr="002007AB">
            <w:rPr>
              <w:rFonts w:ascii="Arial" w:hAnsi="Arial" w:cs="Arial"/>
            </w:rPr>
            <w:t>Montgomery</w:t>
          </w:r>
        </w:smartTag>
        <w:r w:rsidRPr="002007AB">
          <w:rPr>
            <w:rFonts w:ascii="Arial" w:hAnsi="Arial" w:cs="Arial"/>
          </w:rPr>
          <w:t xml:space="preserve"> </w:t>
        </w:r>
        <w:smartTag w:uri="urn:schemas-microsoft-com:office:smarttags" w:element="PlaceType">
          <w:r w:rsidRPr="002007AB">
            <w:rPr>
              <w:rFonts w:ascii="Arial" w:hAnsi="Arial" w:cs="Arial"/>
            </w:rPr>
            <w:t>County</w:t>
          </w:r>
        </w:smartTag>
      </w:smartTag>
      <w:r w:rsidRPr="002007AB">
        <w:rPr>
          <w:rFonts w:ascii="Arial" w:hAnsi="Arial" w:cs="Arial"/>
        </w:rPr>
        <w:t xml:space="preserve">. Data was collected through AHRN. The process also included a Stakeholders Conference. That is, on May 23, 2013 multiple organizations representing different human service disciplines were invited to Nathan Littauer Hospital to discuss the most pressing health care needs. Later the </w:t>
      </w:r>
      <w:r w:rsidRPr="009E0C95">
        <w:rPr>
          <w:rFonts w:ascii="Arial" w:hAnsi="Arial" w:cs="Arial"/>
        </w:rPr>
        <w:t>leadership of the hospital met to review the comprehensive data gathered by AHRN as it pertained to our region. From there, we met again to decide what health priorities we as an organization could address</w:t>
      </w:r>
      <w:r w:rsidR="009E0C95" w:rsidRPr="009E0C95">
        <w:rPr>
          <w:rFonts w:ascii="Arial" w:hAnsi="Arial" w:cs="Arial"/>
        </w:rPr>
        <w:t>.</w:t>
      </w:r>
      <w:r w:rsidR="009E0C95">
        <w:rPr>
          <w:rFonts w:ascii="Arial" w:hAnsi="Arial" w:cs="Arial"/>
          <w:color w:val="3366FF"/>
        </w:rPr>
        <w:t xml:space="preserve"> </w:t>
      </w:r>
    </w:p>
    <w:p w:rsidR="00D82FFE" w:rsidRDefault="00D82FFE" w:rsidP="00473324">
      <w:pPr>
        <w:ind w:left="360"/>
        <w:rPr>
          <w:sz w:val="24"/>
          <w:szCs w:val="24"/>
        </w:rPr>
      </w:pPr>
      <w:r>
        <w:rPr>
          <w:sz w:val="24"/>
          <w:szCs w:val="24"/>
        </w:rPr>
        <w:t xml:space="preserve">                                                 </w:t>
      </w:r>
    </w:p>
    <w:p w:rsidR="00D82FFE" w:rsidRPr="002007AB" w:rsidRDefault="00D82FFE" w:rsidP="002007AB">
      <w:pPr>
        <w:ind w:left="360"/>
        <w:jc w:val="both"/>
        <w:rPr>
          <w:b/>
          <w:color w:val="E36C0A"/>
          <w:sz w:val="24"/>
          <w:szCs w:val="24"/>
        </w:rPr>
      </w:pPr>
      <w:r w:rsidRPr="002007AB">
        <w:rPr>
          <w:b/>
          <w:color w:val="E36C0A"/>
          <w:sz w:val="28"/>
          <w:szCs w:val="28"/>
        </w:rPr>
        <w:t>Prioritized Significant Health Needs in Fulton County</w:t>
      </w:r>
      <w:r w:rsidRPr="002007AB">
        <w:rPr>
          <w:color w:val="E36C0A"/>
        </w:rPr>
        <w:t xml:space="preserve">  </w:t>
      </w:r>
    </w:p>
    <w:p w:rsidR="00D82FFE" w:rsidRPr="001B5604" w:rsidRDefault="00D82FFE" w:rsidP="002007AB">
      <w:pPr>
        <w:ind w:left="360"/>
        <w:jc w:val="both"/>
        <w:rPr>
          <w:rFonts w:ascii="Arial" w:hAnsi="Arial" w:cs="Arial"/>
          <w:bCs/>
        </w:rPr>
      </w:pPr>
      <w:r w:rsidRPr="002007AB">
        <w:rPr>
          <w:rFonts w:ascii="Arial" w:hAnsi="Arial" w:cs="Arial"/>
        </w:rPr>
        <w:t xml:space="preserve">Working within the framework of the New York State Department of Health Prevention Agenda, our community health needs assessment tasked us with identifying two priorities or focus areas on which to work in partnership with our county public health department and other community based organizations.   In the face of so many needs in the community, determining Prevention Agenda Priorities was a challenge.  </w:t>
      </w:r>
      <w:r w:rsidRPr="001B5604">
        <w:rPr>
          <w:rFonts w:ascii="Arial" w:hAnsi="Arial" w:cs="Arial"/>
        </w:rPr>
        <w:t xml:space="preserve">Although </w:t>
      </w:r>
      <w:r w:rsidRPr="001B5604">
        <w:rPr>
          <w:rFonts w:ascii="Arial" w:hAnsi="Arial" w:cs="Arial"/>
          <w:bCs/>
        </w:rPr>
        <w:t xml:space="preserve">Prevent Substance Abuse and Other Mental, Emotional, and Behavioral Disorders scored highly on the stakeholder focus groups and in the combination Prevention Agenda and local indicators severity score, it scored 5th on the Prevention Agenda indicator score.  In consideration of the local resources and our ability to effect change, this area was not chosen as a priority.  </w:t>
      </w:r>
    </w:p>
    <w:p w:rsidR="00D82FFE" w:rsidRPr="001B5604" w:rsidRDefault="00D82FFE" w:rsidP="002007AB">
      <w:pPr>
        <w:ind w:left="360"/>
        <w:jc w:val="both"/>
        <w:rPr>
          <w:rFonts w:ascii="Arial" w:hAnsi="Arial" w:cs="Arial"/>
          <w:bCs/>
        </w:rPr>
      </w:pPr>
      <w:r w:rsidRPr="001B5604">
        <w:rPr>
          <w:rFonts w:ascii="Arial" w:hAnsi="Arial" w:cs="Arial"/>
          <w:bCs/>
        </w:rPr>
        <w:t>Cancer, Heart Disease, and C</w:t>
      </w:r>
      <w:r w:rsidR="001B5604">
        <w:rPr>
          <w:rFonts w:ascii="Arial" w:hAnsi="Arial" w:cs="Arial"/>
          <w:bCs/>
        </w:rPr>
        <w:t xml:space="preserve">hronic Lower Respiratory Disease </w:t>
      </w:r>
      <w:r w:rsidRPr="001B5604">
        <w:rPr>
          <w:rFonts w:ascii="Arial" w:hAnsi="Arial" w:cs="Arial"/>
          <w:bCs/>
        </w:rPr>
        <w:t xml:space="preserve">were the 3 leading causes of premature death, and Prevent Chronic Disease was the ARHN Survey Priority Area. </w:t>
      </w:r>
      <w:r w:rsidRPr="001B5604">
        <w:rPr>
          <w:rFonts w:ascii="Arial" w:hAnsi="Arial" w:cs="Arial"/>
          <w:bCs/>
          <w:color w:val="000000"/>
        </w:rPr>
        <w:t>Reduce Illness, Disability, and Death Related to Tobacco Use and Secondhand Smoke Exposure rated highest in the Prevention Agenda</w:t>
      </w:r>
      <w:r w:rsidRPr="001B5604">
        <w:rPr>
          <w:rFonts w:ascii="Arial" w:hAnsi="Arial" w:cs="Arial"/>
          <w:bCs/>
        </w:rPr>
        <w:t xml:space="preserve"> severity score, and in second place was the Built Environment.  In the county health rankings, diet and exercise and tobacco use were second and third as areas where we fared poorly.  </w:t>
      </w:r>
    </w:p>
    <w:p w:rsidR="00D82FFE" w:rsidRPr="001B5604" w:rsidRDefault="00D82FFE" w:rsidP="002007AB">
      <w:pPr>
        <w:ind w:left="360"/>
        <w:jc w:val="both"/>
        <w:rPr>
          <w:rFonts w:ascii="Arial" w:hAnsi="Arial" w:cs="Arial"/>
          <w:bCs/>
        </w:rPr>
      </w:pPr>
      <w:r w:rsidRPr="001B5604">
        <w:rPr>
          <w:rFonts w:ascii="Arial" w:hAnsi="Arial" w:cs="Arial"/>
          <w:bCs/>
        </w:rPr>
        <w:t xml:space="preserve">Violence and Occupational Health was third in the Prevention Agenda severity score, but was not chosen as a priority area by any of the other rankings.  The stakeholder focus group indicated that some of the statistics related to this area may be impacted by employer policies requiring </w:t>
      </w:r>
      <w:r w:rsidR="001B5604" w:rsidRPr="001B5604">
        <w:rPr>
          <w:rFonts w:ascii="Arial" w:hAnsi="Arial" w:cs="Arial"/>
          <w:bCs/>
        </w:rPr>
        <w:t>E</w:t>
      </w:r>
      <w:r w:rsidR="001B5604">
        <w:rPr>
          <w:rFonts w:ascii="Arial" w:hAnsi="Arial" w:cs="Arial"/>
          <w:bCs/>
        </w:rPr>
        <w:t>mergency</w:t>
      </w:r>
      <w:r w:rsidR="001B5604" w:rsidRPr="001B5604">
        <w:rPr>
          <w:rFonts w:ascii="Arial" w:hAnsi="Arial" w:cs="Arial"/>
          <w:bCs/>
        </w:rPr>
        <w:t xml:space="preserve"> </w:t>
      </w:r>
      <w:r w:rsidR="001B5604">
        <w:rPr>
          <w:rFonts w:ascii="Arial" w:hAnsi="Arial" w:cs="Arial"/>
          <w:bCs/>
        </w:rPr>
        <w:t>Department</w:t>
      </w:r>
      <w:r w:rsidR="001B5604" w:rsidRPr="001B5604">
        <w:rPr>
          <w:rFonts w:ascii="Arial" w:hAnsi="Arial" w:cs="Arial"/>
          <w:bCs/>
        </w:rPr>
        <w:t xml:space="preserve"> use too</w:t>
      </w:r>
      <w:r w:rsidRPr="001B5604">
        <w:rPr>
          <w:rFonts w:ascii="Arial" w:hAnsi="Arial" w:cs="Arial"/>
          <w:bCs/>
        </w:rPr>
        <w:t xml:space="preserve"> evaluate any level of work related injury.  Our stakeholders also indicated that education should be considered in this area.</w:t>
      </w:r>
    </w:p>
    <w:p w:rsidR="00D82FFE" w:rsidRPr="001B5604" w:rsidRDefault="00D82FFE" w:rsidP="002007AB">
      <w:pPr>
        <w:ind w:left="360"/>
        <w:jc w:val="both"/>
        <w:rPr>
          <w:rFonts w:ascii="Arial" w:hAnsi="Arial" w:cs="Arial"/>
          <w:bCs/>
        </w:rPr>
      </w:pPr>
      <w:r w:rsidRPr="001B5604">
        <w:rPr>
          <w:rFonts w:ascii="Arial" w:hAnsi="Arial" w:cs="Arial"/>
          <w:bCs/>
        </w:rPr>
        <w:t>Increasing Access to High Quality Chronic and Preventive Care and Management in both Clinical and Community settings was 4</w:t>
      </w:r>
      <w:r w:rsidRPr="001B5604">
        <w:rPr>
          <w:rFonts w:ascii="Arial" w:hAnsi="Arial" w:cs="Arial"/>
          <w:bCs/>
          <w:vertAlign w:val="superscript"/>
        </w:rPr>
        <w:t>th</w:t>
      </w:r>
      <w:r w:rsidRPr="001B5604">
        <w:rPr>
          <w:rFonts w:ascii="Arial" w:hAnsi="Arial" w:cs="Arial"/>
          <w:bCs/>
        </w:rPr>
        <w:t xml:space="preserve"> in the Prevention Agenda severity score and Quality of Care in the County Health rankings, and 6</w:t>
      </w:r>
      <w:r w:rsidRPr="001B5604">
        <w:rPr>
          <w:rFonts w:ascii="Arial" w:hAnsi="Arial" w:cs="Arial"/>
          <w:bCs/>
          <w:vertAlign w:val="superscript"/>
        </w:rPr>
        <w:t>th</w:t>
      </w:r>
      <w:r w:rsidRPr="001B5604">
        <w:rPr>
          <w:rFonts w:ascii="Arial" w:hAnsi="Arial" w:cs="Arial"/>
          <w:bCs/>
        </w:rPr>
        <w:t xml:space="preserve"> in Prevention Agenda and local severity score.  Although Promote Healthy Women and Children and Child Health were 4</w:t>
      </w:r>
      <w:r w:rsidRPr="001B5604">
        <w:rPr>
          <w:rFonts w:ascii="Arial" w:hAnsi="Arial" w:cs="Arial"/>
          <w:bCs/>
          <w:vertAlign w:val="superscript"/>
        </w:rPr>
        <w:t>th</w:t>
      </w:r>
      <w:r w:rsidRPr="001B5604">
        <w:rPr>
          <w:rFonts w:ascii="Arial" w:hAnsi="Arial" w:cs="Arial"/>
          <w:bCs/>
        </w:rPr>
        <w:t xml:space="preserve"> in both the ARHN survey and Prevention Agenda and Local Indicators Severity Score, the rate of childhood lead poisoning and childhood asthma among our children in poverty, and the need to increase immunization rates weighted the rank among the members of the C</w:t>
      </w:r>
      <w:r w:rsidR="001B5604">
        <w:rPr>
          <w:rFonts w:ascii="Arial" w:hAnsi="Arial" w:cs="Arial"/>
          <w:bCs/>
        </w:rPr>
        <w:t>ommunity Health Assessment Team.</w:t>
      </w:r>
    </w:p>
    <w:p w:rsidR="00D82FFE" w:rsidRPr="001B5604" w:rsidRDefault="00D82FFE" w:rsidP="002007AB">
      <w:pPr>
        <w:pStyle w:val="ListParagraph"/>
        <w:ind w:left="360"/>
        <w:jc w:val="both"/>
        <w:rPr>
          <w:rFonts w:ascii="Arial" w:hAnsi="Arial" w:cs="Arial"/>
        </w:rPr>
      </w:pPr>
      <w:r w:rsidRPr="001B5604">
        <w:rPr>
          <w:rFonts w:ascii="Arial" w:hAnsi="Arial" w:cs="Arial"/>
        </w:rPr>
        <w:t xml:space="preserve">As there are numerous areas of need, it was imperative that the priorities selected were cross-cutting and had the potential for meaningful change within our system.  Based on analysis of the available health data, community surveys, input from stakeholders and discussions at the regional and local levels, the following have been identified as the prioritized significant health needs in Fulton County that will be of major focus for the next three years.  </w:t>
      </w:r>
    </w:p>
    <w:p w:rsidR="00D82FFE" w:rsidRPr="002007AB" w:rsidRDefault="00D82FFE" w:rsidP="002007AB">
      <w:pPr>
        <w:pStyle w:val="ListParagraph"/>
        <w:ind w:left="360"/>
        <w:jc w:val="both"/>
        <w:rPr>
          <w:rFonts w:ascii="Arial" w:hAnsi="Arial" w:cs="Arial"/>
        </w:rPr>
      </w:pPr>
      <w:r w:rsidRPr="002007AB">
        <w:rPr>
          <w:rFonts w:ascii="Arial" w:hAnsi="Arial" w:cs="Arial"/>
        </w:rPr>
        <w:t>In order of priority they are:</w:t>
      </w:r>
    </w:p>
    <w:p w:rsidR="00D82FFE" w:rsidRPr="002007AB" w:rsidRDefault="00D82FFE" w:rsidP="002007AB">
      <w:pPr>
        <w:numPr>
          <w:ilvl w:val="0"/>
          <w:numId w:val="5"/>
        </w:numPr>
        <w:rPr>
          <w:rFonts w:ascii="Arial" w:hAnsi="Arial" w:cs="Arial"/>
        </w:rPr>
      </w:pPr>
      <w:r w:rsidRPr="002007AB">
        <w:rPr>
          <w:rFonts w:ascii="Arial" w:hAnsi="Arial" w:cs="Arial"/>
        </w:rPr>
        <w:t xml:space="preserve">Prevent Chronic Disease </w:t>
      </w:r>
    </w:p>
    <w:p w:rsidR="00D82FFE" w:rsidRPr="002007AB" w:rsidRDefault="00D82FFE" w:rsidP="002007AB">
      <w:pPr>
        <w:numPr>
          <w:ilvl w:val="0"/>
          <w:numId w:val="6"/>
        </w:numPr>
        <w:rPr>
          <w:rFonts w:ascii="Arial" w:hAnsi="Arial" w:cs="Arial"/>
        </w:rPr>
      </w:pPr>
      <w:r w:rsidRPr="002007AB">
        <w:rPr>
          <w:rFonts w:ascii="Arial" w:hAnsi="Arial" w:cs="Arial"/>
        </w:rPr>
        <w:t>Reduce Obesity in Adults and Children</w:t>
      </w:r>
    </w:p>
    <w:p w:rsidR="00D82FFE" w:rsidRPr="002007AB" w:rsidRDefault="00D82FFE" w:rsidP="002007AB">
      <w:pPr>
        <w:numPr>
          <w:ilvl w:val="0"/>
          <w:numId w:val="6"/>
        </w:numPr>
        <w:rPr>
          <w:rFonts w:ascii="Arial" w:hAnsi="Arial" w:cs="Arial"/>
        </w:rPr>
      </w:pPr>
      <w:r w:rsidRPr="002007AB">
        <w:rPr>
          <w:rFonts w:ascii="Arial" w:hAnsi="Arial" w:cs="Arial"/>
        </w:rPr>
        <w:t>Increase access to high-quality chronic disease preventive care and management in clinical and community settings</w:t>
      </w:r>
    </w:p>
    <w:p w:rsidR="00D82FFE" w:rsidRPr="002007AB" w:rsidRDefault="00D82FFE" w:rsidP="002007AB">
      <w:pPr>
        <w:numPr>
          <w:ilvl w:val="0"/>
          <w:numId w:val="5"/>
        </w:numPr>
        <w:rPr>
          <w:rFonts w:ascii="Arial" w:hAnsi="Arial" w:cs="Arial"/>
        </w:rPr>
      </w:pPr>
      <w:r w:rsidRPr="002007AB">
        <w:rPr>
          <w:rFonts w:ascii="Arial" w:hAnsi="Arial" w:cs="Arial"/>
        </w:rPr>
        <w:t>Promote Healthy Women, Infants and Children</w:t>
      </w:r>
    </w:p>
    <w:p w:rsidR="00D82FFE" w:rsidRPr="002007AB" w:rsidRDefault="00D82FFE" w:rsidP="002007AB">
      <w:pPr>
        <w:ind w:left="1440" w:hanging="360"/>
        <w:rPr>
          <w:rFonts w:ascii="Arial" w:hAnsi="Arial" w:cs="Arial"/>
        </w:rPr>
      </w:pPr>
      <w:r w:rsidRPr="002007AB">
        <w:rPr>
          <w:rFonts w:ascii="Arial" w:hAnsi="Arial" w:cs="Arial"/>
        </w:rPr>
        <w:t>a)</w:t>
      </w:r>
      <w:r w:rsidRPr="002007AB">
        <w:rPr>
          <w:rFonts w:ascii="Arial" w:hAnsi="Arial" w:cs="Arial"/>
        </w:rPr>
        <w:tab/>
        <w:t xml:space="preserve">Increase the use of comprehensive well child care </w:t>
      </w:r>
    </w:p>
    <w:p w:rsidR="00D82FFE" w:rsidRPr="00A10AC1" w:rsidRDefault="00D82FFE" w:rsidP="002007AB">
      <w:pPr>
        <w:jc w:val="center"/>
        <w:rPr>
          <w:b/>
          <w:sz w:val="32"/>
          <w:szCs w:val="32"/>
        </w:rPr>
      </w:pPr>
      <w:r w:rsidRPr="00A10AC1">
        <w:rPr>
          <w:b/>
          <w:sz w:val="32"/>
          <w:szCs w:val="32"/>
        </w:rPr>
        <w:t xml:space="preserve">Nathan Littauer </w:t>
      </w:r>
      <w:r>
        <w:rPr>
          <w:b/>
          <w:sz w:val="32"/>
          <w:szCs w:val="32"/>
        </w:rPr>
        <w:t xml:space="preserve">Hospital’s strategy in </w:t>
      </w:r>
      <w:r w:rsidRPr="00A10AC1">
        <w:rPr>
          <w:b/>
          <w:sz w:val="32"/>
          <w:szCs w:val="32"/>
        </w:rPr>
        <w:t>addressing needs identified in the C</w:t>
      </w:r>
      <w:r>
        <w:rPr>
          <w:b/>
          <w:sz w:val="32"/>
          <w:szCs w:val="32"/>
        </w:rPr>
        <w:t xml:space="preserve">ommunity </w:t>
      </w:r>
      <w:r w:rsidRPr="00A10AC1">
        <w:rPr>
          <w:b/>
          <w:sz w:val="32"/>
          <w:szCs w:val="32"/>
        </w:rPr>
        <w:t>H</w:t>
      </w:r>
      <w:r>
        <w:rPr>
          <w:b/>
          <w:sz w:val="32"/>
          <w:szCs w:val="32"/>
        </w:rPr>
        <w:t xml:space="preserve">ealth </w:t>
      </w:r>
      <w:r w:rsidRPr="00A10AC1">
        <w:rPr>
          <w:b/>
          <w:sz w:val="32"/>
          <w:szCs w:val="32"/>
        </w:rPr>
        <w:t>N</w:t>
      </w:r>
      <w:r>
        <w:rPr>
          <w:b/>
          <w:sz w:val="32"/>
          <w:szCs w:val="32"/>
        </w:rPr>
        <w:t xml:space="preserve">eeds </w:t>
      </w:r>
      <w:r w:rsidRPr="00A10AC1">
        <w:rPr>
          <w:b/>
          <w:sz w:val="32"/>
          <w:szCs w:val="32"/>
        </w:rPr>
        <w:t>A</w:t>
      </w:r>
      <w:r>
        <w:rPr>
          <w:b/>
          <w:sz w:val="32"/>
          <w:szCs w:val="32"/>
        </w:rPr>
        <w:t>ssessment</w:t>
      </w:r>
    </w:p>
    <w:p w:rsidR="00D82FFE" w:rsidRDefault="00D82FFE" w:rsidP="002007AB">
      <w:pPr>
        <w:spacing w:line="240" w:lineRule="auto"/>
        <w:sectPr w:rsidR="00D82FFE" w:rsidSect="002007AB">
          <w:headerReference w:type="default" r:id="rId8"/>
          <w:footerReference w:type="default" r:id="rId9"/>
          <w:pgSz w:w="12240" w:h="15840"/>
          <w:pgMar w:top="1440" w:right="1080" w:bottom="1170" w:left="1080" w:header="720" w:footer="720" w:gutter="0"/>
          <w:cols w:space="720"/>
          <w:docGrid w:linePitch="360"/>
        </w:sectPr>
      </w:pPr>
      <w:r>
        <w:rPr>
          <w:b/>
          <w:sz w:val="28"/>
          <w:szCs w:val="28"/>
        </w:rPr>
        <w:t xml:space="preserve">Quality and </w:t>
      </w:r>
      <w:r w:rsidRPr="00F32ADE">
        <w:rPr>
          <w:b/>
          <w:sz w:val="28"/>
          <w:szCs w:val="28"/>
        </w:rPr>
        <w:t>Access</w:t>
      </w:r>
      <w:r>
        <w:rPr>
          <w:b/>
          <w:sz w:val="28"/>
          <w:szCs w:val="28"/>
        </w:rPr>
        <w:t xml:space="preserve"> to </w:t>
      </w:r>
      <w:r w:rsidRPr="009E0C95">
        <w:rPr>
          <w:b/>
          <w:sz w:val="28"/>
          <w:szCs w:val="28"/>
        </w:rPr>
        <w:t xml:space="preserve">Care </w:t>
      </w:r>
      <w:r w:rsidRPr="009E0C95">
        <w:rPr>
          <w:b/>
        </w:rPr>
        <w:t>(Access identified as a disparity in the CHNA):</w:t>
      </w:r>
      <w:r w:rsidRPr="009E0C95">
        <w:t xml:space="preserve"> the accomplishments, initiatives &amp; programs in place to help address this area are as follows: </w:t>
      </w:r>
      <w:r w:rsidRPr="009E0C95">
        <w:tab/>
      </w:r>
      <w:r w:rsidRPr="009E0C95">
        <w:tab/>
      </w:r>
    </w:p>
    <w:p w:rsidR="00D82FFE" w:rsidRPr="009E0C95" w:rsidRDefault="009E0C95" w:rsidP="002007AB">
      <w:pPr>
        <w:numPr>
          <w:ilvl w:val="0"/>
          <w:numId w:val="18"/>
        </w:numPr>
        <w:spacing w:line="240" w:lineRule="auto"/>
      </w:pPr>
      <w:r w:rsidRPr="009E0C95">
        <w:t xml:space="preserve">Our </w:t>
      </w:r>
      <w:r w:rsidR="00D82FFE" w:rsidRPr="009E0C95">
        <w:t>Primary care settings</w:t>
      </w:r>
      <w:r w:rsidRPr="009E0C95">
        <w:t xml:space="preserve"> are</w:t>
      </w:r>
      <w:r w:rsidR="00D82FFE" w:rsidRPr="009E0C95">
        <w:t xml:space="preserve"> placed in highly visible, well traveled locations which are on the bus routes</w:t>
      </w:r>
    </w:p>
    <w:p w:rsidR="00D82FFE" w:rsidRPr="009E0C95" w:rsidRDefault="009E0C95" w:rsidP="006425E6">
      <w:pPr>
        <w:numPr>
          <w:ilvl w:val="0"/>
          <w:numId w:val="18"/>
        </w:numPr>
        <w:spacing w:line="240" w:lineRule="auto"/>
      </w:pPr>
      <w:r>
        <w:t xml:space="preserve">Our </w:t>
      </w:r>
      <w:r w:rsidR="00D82FFE" w:rsidRPr="009E0C95">
        <w:t xml:space="preserve">Nutrition Counseling Room </w:t>
      </w:r>
      <w:r>
        <w:t>has been r</w:t>
      </w:r>
      <w:r w:rsidR="00D82FFE" w:rsidRPr="009E0C95">
        <w:t>elocated to a more accessible location</w:t>
      </w:r>
    </w:p>
    <w:p w:rsidR="00D82FFE" w:rsidRDefault="009E0C95" w:rsidP="002007AB">
      <w:pPr>
        <w:numPr>
          <w:ilvl w:val="0"/>
          <w:numId w:val="18"/>
        </w:numPr>
        <w:spacing w:line="240" w:lineRule="auto"/>
      </w:pPr>
      <w:r>
        <w:t>We offer s</w:t>
      </w:r>
      <w:r w:rsidR="00D82FFE">
        <w:t xml:space="preserve">taff </w:t>
      </w:r>
      <w:r w:rsidR="00D82FFE" w:rsidRPr="00C96A4E">
        <w:t xml:space="preserve">Nurse </w:t>
      </w:r>
      <w:r w:rsidR="00D82FFE">
        <w:t xml:space="preserve">Peer </w:t>
      </w:r>
      <w:r w:rsidR="00D82FFE" w:rsidRPr="00C96A4E">
        <w:t>mentoring</w:t>
      </w:r>
      <w:r w:rsidR="00D82FFE">
        <w:t xml:space="preserve"> - improves staff retention and ultimately patient care</w:t>
      </w:r>
      <w:r w:rsidR="00D82FFE" w:rsidRPr="00C96A4E">
        <w:t xml:space="preserve"> </w:t>
      </w:r>
    </w:p>
    <w:p w:rsidR="00D82FFE" w:rsidRDefault="00D82FFE" w:rsidP="002007AB">
      <w:pPr>
        <w:numPr>
          <w:ilvl w:val="0"/>
          <w:numId w:val="18"/>
        </w:numPr>
        <w:spacing w:line="240" w:lineRule="auto"/>
      </w:pPr>
      <w:r w:rsidRPr="00C96A4E">
        <w:t xml:space="preserve">New </w:t>
      </w:r>
      <w:r>
        <w:t>V</w:t>
      </w:r>
      <w:r w:rsidRPr="00C96A4E">
        <w:t>isions</w:t>
      </w:r>
      <w:r>
        <w:t xml:space="preserve"> Program for  high school seniors held in conjunction with HFM BOCES and local high schools – increases the pool of future healthcare providers</w:t>
      </w:r>
    </w:p>
    <w:p w:rsidR="00D82FFE" w:rsidRDefault="00D82FFE" w:rsidP="006425E6">
      <w:pPr>
        <w:numPr>
          <w:ilvl w:val="0"/>
          <w:numId w:val="18"/>
        </w:numPr>
        <w:spacing w:line="240" w:lineRule="auto"/>
      </w:pPr>
      <w:r w:rsidRPr="00C96A4E">
        <w:t>E</w:t>
      </w:r>
      <w:r>
        <w:t xml:space="preserve">lectronic Medical Record in place for in patients and primary care </w:t>
      </w:r>
    </w:p>
    <w:p w:rsidR="00D82FFE" w:rsidRDefault="00D82FFE" w:rsidP="006425E6">
      <w:pPr>
        <w:numPr>
          <w:ilvl w:val="0"/>
          <w:numId w:val="18"/>
        </w:numPr>
        <w:spacing w:line="240" w:lineRule="auto"/>
      </w:pPr>
      <w:r>
        <w:t xml:space="preserve">Patient Navigators for the NYS Healthcare Marketplace – to assist consumers in enrolling in health insurance plans </w:t>
      </w:r>
    </w:p>
    <w:p w:rsidR="00D82FFE" w:rsidRDefault="009E0C95" w:rsidP="006425E6">
      <w:pPr>
        <w:numPr>
          <w:ilvl w:val="0"/>
          <w:numId w:val="18"/>
        </w:numPr>
        <w:spacing w:line="240" w:lineRule="auto"/>
      </w:pPr>
      <w:r w:rsidRPr="009E0C95">
        <w:t>We are a m</w:t>
      </w:r>
      <w:r w:rsidR="00D82FFE" w:rsidRPr="009E0C95">
        <w:t>ember of</w:t>
      </w:r>
      <w:r w:rsidR="00D82FFE">
        <w:t xml:space="preserve"> a regional health information exchange system called, HIXNY</w:t>
      </w:r>
    </w:p>
    <w:p w:rsidR="00D82FFE" w:rsidRDefault="00D82FFE" w:rsidP="002007AB">
      <w:pPr>
        <w:numPr>
          <w:ilvl w:val="0"/>
          <w:numId w:val="18"/>
        </w:numPr>
        <w:spacing w:line="240" w:lineRule="auto"/>
      </w:pPr>
      <w:r>
        <w:t>Examples of community education programs which address this need include: understanding the  Affordable Care Act (lecture and radio),   understanding the NYS Healthcare Marketplace, healthcare career presentations at local schools</w:t>
      </w:r>
    </w:p>
    <w:p w:rsidR="00D82FFE" w:rsidRDefault="00D82FFE" w:rsidP="002007AB">
      <w:pPr>
        <w:numPr>
          <w:ilvl w:val="0"/>
          <w:numId w:val="18"/>
        </w:numPr>
        <w:spacing w:line="240" w:lineRule="auto"/>
      </w:pPr>
      <w:r w:rsidRPr="009E0C95">
        <w:t xml:space="preserve">Community health screenings offered on a regular basis include cholesterol, glucose, blood pressure, BMI and percent body fat </w:t>
      </w:r>
    </w:p>
    <w:p w:rsidR="009E0C95" w:rsidRPr="009E0C95" w:rsidRDefault="009E0C95" w:rsidP="002007AB">
      <w:pPr>
        <w:numPr>
          <w:ilvl w:val="0"/>
          <w:numId w:val="18"/>
        </w:numPr>
        <w:spacing w:line="240" w:lineRule="auto"/>
      </w:pPr>
      <w:r w:rsidRPr="009E0C95">
        <w:t>We support Gloversville t</w:t>
      </w:r>
      <w:r>
        <w:t>ransit with yearly sponsorships</w:t>
      </w:r>
      <w:r w:rsidRPr="009E0C95">
        <w:t xml:space="preserve"> </w:t>
      </w:r>
    </w:p>
    <w:p w:rsidR="00D82FFE" w:rsidRPr="009E0C95" w:rsidRDefault="00D82FFE" w:rsidP="007E6D20">
      <w:pPr>
        <w:spacing w:line="240" w:lineRule="auto"/>
      </w:pPr>
      <w:r w:rsidRPr="009E0C95">
        <w:t xml:space="preserve">  </w:t>
      </w:r>
    </w:p>
    <w:p w:rsidR="00D82FFE" w:rsidRDefault="00D82FFE" w:rsidP="002007AB">
      <w:pPr>
        <w:spacing w:line="240" w:lineRule="auto"/>
      </w:pPr>
    </w:p>
    <w:p w:rsidR="00D82FFE" w:rsidRPr="00000093" w:rsidRDefault="00D82FFE" w:rsidP="002007AB">
      <w:pPr>
        <w:spacing w:line="240" w:lineRule="auto"/>
        <w:sectPr w:rsidR="00D82FFE" w:rsidRPr="00000093" w:rsidSect="000F3375">
          <w:type w:val="continuous"/>
          <w:pgSz w:w="12240" w:h="15840"/>
          <w:pgMar w:top="720" w:right="720" w:bottom="720" w:left="720" w:header="720" w:footer="720" w:gutter="0"/>
          <w:cols w:num="2" w:space="720" w:equalWidth="0">
            <w:col w:w="5040" w:space="720"/>
            <w:col w:w="5040"/>
          </w:cols>
          <w:docGrid w:linePitch="360"/>
        </w:sectPr>
      </w:pPr>
    </w:p>
    <w:p w:rsidR="00D82FFE" w:rsidRPr="009E0C95" w:rsidRDefault="009E0C95" w:rsidP="002007AB">
      <w:pPr>
        <w:spacing w:line="240" w:lineRule="auto"/>
        <w:rPr>
          <w:sz w:val="28"/>
          <w:szCs w:val="28"/>
        </w:rPr>
      </w:pPr>
      <w:r>
        <w:rPr>
          <w:b/>
        </w:rPr>
        <w:t xml:space="preserve">Other </w:t>
      </w:r>
      <w:r w:rsidRPr="009E0C95">
        <w:rPr>
          <w:b/>
        </w:rPr>
        <w:t>Community Partners:</w:t>
      </w:r>
      <w:r w:rsidRPr="009E0C95">
        <w:t xml:space="preserve"> Primary Care providers, Health fair organizers, CDC, NYSDOH, Office for the Aging, </w:t>
      </w:r>
      <w:r w:rsidR="00D82FFE" w:rsidRPr="009E0C95">
        <w:t>HIXNY, DNV, HANY’s</w:t>
      </w:r>
      <w:r w:rsidRPr="009E0C95">
        <w:t>, CDC</w:t>
      </w:r>
      <w:r>
        <w:t xml:space="preserve">, American Diabetes Association, Gloversville Transit Authority. </w:t>
      </w:r>
    </w:p>
    <w:p w:rsidR="005F6095" w:rsidRDefault="005F6095" w:rsidP="002007AB">
      <w:pPr>
        <w:spacing w:line="240" w:lineRule="auto"/>
        <w:rPr>
          <w:b/>
          <w:sz w:val="28"/>
          <w:szCs w:val="28"/>
        </w:rPr>
      </w:pPr>
    </w:p>
    <w:p w:rsidR="00D82FFE" w:rsidRPr="006F2BEF" w:rsidRDefault="00D82FFE" w:rsidP="002007AB">
      <w:pPr>
        <w:spacing w:line="240" w:lineRule="auto"/>
        <w:rPr>
          <w:b/>
          <w:sz w:val="28"/>
          <w:szCs w:val="28"/>
        </w:rPr>
      </w:pPr>
      <w:r w:rsidRPr="002007AB">
        <w:rPr>
          <w:b/>
          <w:sz w:val="28"/>
          <w:szCs w:val="28"/>
        </w:rPr>
        <w:t xml:space="preserve">Prevent Chronic Disease  </w:t>
      </w:r>
      <w:r>
        <w:rPr>
          <w:b/>
        </w:rPr>
        <w:t xml:space="preserve"> </w:t>
      </w:r>
    </w:p>
    <w:p w:rsidR="00D82FFE" w:rsidRPr="002007AB" w:rsidRDefault="00D82FFE" w:rsidP="002007AB">
      <w:pPr>
        <w:spacing w:line="240" w:lineRule="auto"/>
      </w:pPr>
      <w:r w:rsidRPr="002007AB">
        <w:rPr>
          <w:b/>
        </w:rPr>
        <w:t>Other community partners, or existing agencies and community based organizations addressing need</w:t>
      </w:r>
      <w:r w:rsidRPr="002007AB">
        <w:t xml:space="preserve">:   Fulton County Public Health, Project Action, and Reality Check (youth) (local tobacco coalitions), Cornell Cooperative Extension, local farmers markets and food cooperative, Cancer Services Program of Fulton Montgomery and Schenectady Counties, American Cancer Society, To Life, American Lung Association, Capital District Asthma Coalition, Arthritis Foundation, Gloversville Boys &amp; Girls Club, Planned Parenthood and local school districts. </w:t>
      </w:r>
    </w:p>
    <w:p w:rsidR="00D82FFE" w:rsidRPr="002007AB" w:rsidRDefault="00D82FFE" w:rsidP="002007AB">
      <w:pPr>
        <w:spacing w:line="240" w:lineRule="auto"/>
        <w:sectPr w:rsidR="00D82FFE" w:rsidRPr="002007AB" w:rsidSect="000F3375">
          <w:type w:val="continuous"/>
          <w:pgSz w:w="12240" w:h="15840"/>
          <w:pgMar w:top="720" w:right="720" w:bottom="720" w:left="720" w:header="720" w:footer="720" w:gutter="0"/>
          <w:cols w:space="720"/>
          <w:docGrid w:linePitch="360"/>
        </w:sectPr>
      </w:pPr>
      <w:r w:rsidRPr="002007AB">
        <w:rPr>
          <w:b/>
        </w:rPr>
        <w:t>What NLH is doing to addres</w:t>
      </w:r>
      <w:r>
        <w:rPr>
          <w:b/>
        </w:rPr>
        <w:t>s,</w:t>
      </w:r>
      <w:r w:rsidRPr="00BF74B7">
        <w:t xml:space="preserve"> </w:t>
      </w:r>
      <w:r w:rsidRPr="00000093">
        <w:t>the</w:t>
      </w:r>
      <w:r>
        <w:t xml:space="preserve"> accomplishments, </w:t>
      </w:r>
      <w:r w:rsidRPr="00000093">
        <w:t>initiatives</w:t>
      </w:r>
      <w:r>
        <w:t xml:space="preserve"> &amp; programs in place to help address this area are as follows: </w:t>
      </w:r>
      <w:r>
        <w:tab/>
      </w:r>
      <w:r>
        <w:tab/>
      </w:r>
    </w:p>
    <w:p w:rsidR="00D82FFE" w:rsidRPr="002007AB" w:rsidRDefault="00D82FFE" w:rsidP="002007AB">
      <w:pPr>
        <w:spacing w:line="240" w:lineRule="auto"/>
        <w:rPr>
          <w:b/>
        </w:rPr>
      </w:pPr>
      <w:r w:rsidRPr="002007AB">
        <w:rPr>
          <w:b/>
        </w:rPr>
        <w:t>Tobacco use:</w:t>
      </w:r>
    </w:p>
    <w:p w:rsidR="00D82FFE" w:rsidRPr="002007AB" w:rsidRDefault="00D82FFE" w:rsidP="002007AB">
      <w:pPr>
        <w:numPr>
          <w:ilvl w:val="0"/>
          <w:numId w:val="20"/>
        </w:numPr>
        <w:spacing w:line="240" w:lineRule="auto"/>
      </w:pPr>
      <w:r w:rsidRPr="002007AB">
        <w:t xml:space="preserve">Inpatient and primary care patients assessed, advised and referred </w:t>
      </w:r>
    </w:p>
    <w:p w:rsidR="00D82FFE" w:rsidRDefault="00D82FFE" w:rsidP="002007AB">
      <w:pPr>
        <w:numPr>
          <w:ilvl w:val="0"/>
          <w:numId w:val="19"/>
        </w:numPr>
        <w:spacing w:line="240" w:lineRule="auto"/>
      </w:pPr>
      <w:r w:rsidRPr="002007AB">
        <w:t>Hospital property is smoke free</w:t>
      </w:r>
    </w:p>
    <w:p w:rsidR="00D82FFE" w:rsidRPr="009E0C95" w:rsidRDefault="00D82FFE" w:rsidP="002007AB">
      <w:pPr>
        <w:numPr>
          <w:ilvl w:val="0"/>
          <w:numId w:val="19"/>
        </w:numPr>
        <w:spacing w:line="240" w:lineRule="auto"/>
      </w:pPr>
      <w:r w:rsidRPr="009E0C95">
        <w:t>N</w:t>
      </w:r>
      <w:r w:rsidR="009E0C95">
        <w:t xml:space="preserve">icotine Replacement Therapy is </w:t>
      </w:r>
      <w:r w:rsidRPr="009E0C95">
        <w:t>available at Hospital pharmacy</w:t>
      </w:r>
    </w:p>
    <w:p w:rsidR="00D82FFE" w:rsidRPr="009E0C95" w:rsidRDefault="00D82FFE" w:rsidP="009E0C95">
      <w:pPr>
        <w:pStyle w:val="ListParagraph"/>
        <w:numPr>
          <w:ilvl w:val="0"/>
          <w:numId w:val="19"/>
        </w:numPr>
        <w:spacing w:line="240" w:lineRule="auto"/>
        <w:rPr>
          <w:color w:val="3366FF"/>
        </w:rPr>
      </w:pPr>
      <w:r>
        <w:t>We offer in-house smoking cessation</w:t>
      </w:r>
      <w:r w:rsidR="009E0C95">
        <w:t xml:space="preserve"> to our employees</w:t>
      </w:r>
    </w:p>
    <w:p w:rsidR="00D82FFE" w:rsidRPr="009E0C95" w:rsidRDefault="00D82FFE" w:rsidP="002007AB">
      <w:pPr>
        <w:numPr>
          <w:ilvl w:val="0"/>
          <w:numId w:val="19"/>
        </w:numPr>
        <w:spacing w:line="240" w:lineRule="auto"/>
      </w:pPr>
      <w:r w:rsidRPr="009E0C95">
        <w:t>Member of Project Action, local tobacco coalition</w:t>
      </w:r>
    </w:p>
    <w:p w:rsidR="00D82FFE" w:rsidRPr="009E0C95" w:rsidRDefault="00D82FFE" w:rsidP="002007AB">
      <w:pPr>
        <w:numPr>
          <w:ilvl w:val="0"/>
          <w:numId w:val="19"/>
        </w:numPr>
        <w:spacing w:line="240" w:lineRule="auto"/>
        <w:sectPr w:rsidR="00D82FFE" w:rsidRPr="009E0C95" w:rsidSect="002F2DFD">
          <w:type w:val="continuous"/>
          <w:pgSz w:w="12240" w:h="15840"/>
          <w:pgMar w:top="720" w:right="720" w:bottom="720" w:left="720" w:header="720" w:footer="720" w:gutter="0"/>
          <w:cols w:num="2" w:space="720" w:equalWidth="0">
            <w:col w:w="5040" w:space="720"/>
            <w:col w:w="5040"/>
          </w:cols>
          <w:docGrid w:linePitch="360"/>
        </w:sectPr>
      </w:pPr>
      <w:r w:rsidRPr="009E0C95">
        <w:t>Examples of community education programs which address this need include</w:t>
      </w:r>
      <w:r w:rsidR="009E0C95">
        <w:t xml:space="preserve">: Participation of the </w:t>
      </w:r>
      <w:r w:rsidR="009E0C95" w:rsidRPr="009E0C95">
        <w:t>Am</w:t>
      </w:r>
      <w:r w:rsidR="009E0C95">
        <w:t>ericana</w:t>
      </w:r>
      <w:r w:rsidR="009E0C95" w:rsidRPr="009E0C95">
        <w:t xml:space="preserve"> Lung Association </w:t>
      </w:r>
      <w:r w:rsidRPr="009E0C95">
        <w:t xml:space="preserve">“Great American </w:t>
      </w:r>
      <w:proofErr w:type="spellStart"/>
      <w:r w:rsidRPr="009E0C95">
        <w:t>Smokeout</w:t>
      </w:r>
      <w:proofErr w:type="spellEnd"/>
      <w:r w:rsidRPr="009E0C95">
        <w:t>”,  The Butt Stops Here tobacco cessation program, monthly cessation support group, community and school presentations</w:t>
      </w:r>
    </w:p>
    <w:p w:rsidR="00D82FFE" w:rsidRPr="002007AB" w:rsidRDefault="00D82FFE" w:rsidP="002007AB">
      <w:pPr>
        <w:spacing w:line="240" w:lineRule="auto"/>
      </w:pPr>
    </w:p>
    <w:p w:rsidR="00D82FFE" w:rsidRPr="002007AB" w:rsidRDefault="00D82FFE" w:rsidP="002007AB">
      <w:pPr>
        <w:spacing w:line="240" w:lineRule="auto"/>
      </w:pPr>
      <w:r w:rsidRPr="002007AB">
        <w:rPr>
          <w:b/>
        </w:rPr>
        <w:t>Cardio Pulmonary Disease</w:t>
      </w:r>
      <w:r w:rsidRPr="002007AB">
        <w:t xml:space="preserve">:  </w:t>
      </w:r>
    </w:p>
    <w:p w:rsidR="00D82FFE" w:rsidRPr="002007AB" w:rsidRDefault="00D82FFE" w:rsidP="002007AB">
      <w:pPr>
        <w:spacing w:line="240" w:lineRule="auto"/>
        <w:ind w:left="360"/>
        <w:sectPr w:rsidR="00D82FFE" w:rsidRPr="002007AB" w:rsidSect="000F3375">
          <w:type w:val="continuous"/>
          <w:pgSz w:w="12240" w:h="15840"/>
          <w:pgMar w:top="720" w:right="720" w:bottom="720" w:left="720" w:header="720" w:footer="720" w:gutter="0"/>
          <w:cols w:space="720"/>
          <w:docGrid w:linePitch="360"/>
        </w:sectPr>
      </w:pPr>
    </w:p>
    <w:p w:rsidR="00D82FFE" w:rsidRPr="009E0C95" w:rsidRDefault="00D82FFE" w:rsidP="002007AB">
      <w:pPr>
        <w:numPr>
          <w:ilvl w:val="0"/>
          <w:numId w:val="21"/>
        </w:numPr>
        <w:spacing w:line="240" w:lineRule="auto"/>
      </w:pPr>
      <w:r w:rsidRPr="009E0C95">
        <w:t xml:space="preserve">On site cardiac and pulmonary specialists </w:t>
      </w:r>
    </w:p>
    <w:p w:rsidR="00D82FFE" w:rsidRPr="009E0C95" w:rsidRDefault="00D82FFE" w:rsidP="002007AB">
      <w:pPr>
        <w:numPr>
          <w:ilvl w:val="0"/>
          <w:numId w:val="21"/>
        </w:numPr>
        <w:spacing w:line="240" w:lineRule="auto"/>
      </w:pPr>
      <w:r w:rsidRPr="009E0C95">
        <w:t xml:space="preserve">Facility includes a 5 bed Special (Intensive) Care Unit and 24 hour Emergency Care Center  </w:t>
      </w:r>
    </w:p>
    <w:p w:rsidR="00D82FFE" w:rsidRPr="009E0C95" w:rsidRDefault="00D82FFE" w:rsidP="002007AB">
      <w:pPr>
        <w:numPr>
          <w:ilvl w:val="0"/>
          <w:numId w:val="21"/>
        </w:numPr>
        <w:spacing w:line="240" w:lineRule="auto"/>
      </w:pPr>
      <w:r w:rsidRPr="009E0C95">
        <w:t>Cardio Pulmonary Department services include outpatient rehabilitation</w:t>
      </w:r>
    </w:p>
    <w:p w:rsidR="00D82FFE" w:rsidRPr="009E0C95" w:rsidRDefault="00D82FFE" w:rsidP="002007AB">
      <w:pPr>
        <w:numPr>
          <w:ilvl w:val="0"/>
          <w:numId w:val="21"/>
        </w:numPr>
        <w:spacing w:line="240" w:lineRule="auto"/>
        <w:sectPr w:rsidR="00D82FFE" w:rsidRPr="009E0C95" w:rsidSect="008D372E">
          <w:type w:val="continuous"/>
          <w:pgSz w:w="12240" w:h="15840"/>
          <w:pgMar w:top="720" w:right="720" w:bottom="720" w:left="720" w:header="720" w:footer="720" w:gutter="0"/>
          <w:cols w:num="2" w:space="720" w:equalWidth="0">
            <w:col w:w="5040" w:space="720"/>
            <w:col w:w="5040"/>
          </w:cols>
          <w:docGrid w:linePitch="360"/>
        </w:sectPr>
      </w:pPr>
      <w:r w:rsidRPr="009E0C95">
        <w:t xml:space="preserve">Examples of community education programs which address this need include: community blood pressure, cholesterol, glucose, body fat &amp; BMI screening, presentations on heart and  lung disease (asthma) as well as healthy eating  and increasing physical activity, programs to increase physical activity (ex hiking, tai chi and community walks), Camp </w:t>
      </w:r>
      <w:proofErr w:type="spellStart"/>
      <w:r w:rsidRPr="009E0C95">
        <w:t>Superstarrs</w:t>
      </w:r>
      <w:proofErr w:type="spellEnd"/>
      <w:r w:rsidRPr="009E0C95">
        <w:t xml:space="preserve"> (a 2 week Summer day camp for children with asthma or diabetes), Women With Heart Disease and Better Breathers support groups</w:t>
      </w:r>
    </w:p>
    <w:p w:rsidR="00D82FFE" w:rsidRPr="002007AB" w:rsidRDefault="00D82FFE" w:rsidP="002007AB">
      <w:pPr>
        <w:spacing w:line="240" w:lineRule="auto"/>
        <w:sectPr w:rsidR="00D82FFE" w:rsidRPr="002007AB" w:rsidSect="008D372E">
          <w:type w:val="continuous"/>
          <w:pgSz w:w="12240" w:h="15840"/>
          <w:pgMar w:top="720" w:right="720" w:bottom="720" w:left="720" w:header="720" w:footer="720" w:gutter="0"/>
          <w:cols w:num="2" w:space="720" w:equalWidth="0">
            <w:col w:w="5040" w:space="720"/>
            <w:col w:w="5040"/>
          </w:cols>
          <w:docGrid w:linePitch="360"/>
        </w:sectPr>
      </w:pPr>
    </w:p>
    <w:p w:rsidR="00D82FFE" w:rsidRPr="002007AB" w:rsidRDefault="00D82FFE" w:rsidP="002007AB">
      <w:pPr>
        <w:spacing w:line="240" w:lineRule="auto"/>
        <w:sectPr w:rsidR="00D82FFE" w:rsidRPr="002007AB" w:rsidSect="000F3375">
          <w:type w:val="continuous"/>
          <w:pgSz w:w="12240" w:h="15840"/>
          <w:pgMar w:top="720" w:right="720" w:bottom="720" w:left="720" w:header="720" w:footer="720" w:gutter="0"/>
          <w:cols w:space="720"/>
          <w:docGrid w:linePitch="360"/>
        </w:sectPr>
      </w:pPr>
      <w:r w:rsidRPr="002007AB">
        <w:t xml:space="preserve"> </w:t>
      </w:r>
      <w:r w:rsidRPr="002007AB">
        <w:rPr>
          <w:b/>
        </w:rPr>
        <w:t>Diabete</w:t>
      </w:r>
      <w:r>
        <w:rPr>
          <w:b/>
        </w:rPr>
        <w:t>s</w:t>
      </w:r>
    </w:p>
    <w:p w:rsidR="00D82FFE" w:rsidRDefault="00D82FFE" w:rsidP="0085795E">
      <w:pPr>
        <w:numPr>
          <w:ilvl w:val="0"/>
          <w:numId w:val="27"/>
        </w:numPr>
        <w:spacing w:line="240" w:lineRule="auto"/>
      </w:pPr>
      <w:r>
        <w:t>I</w:t>
      </w:r>
      <w:r w:rsidRPr="002007AB">
        <w:t>n 2013 a new nutrition and diabetes education room</w:t>
      </w:r>
      <w:r>
        <w:t xml:space="preserve"> was built</w:t>
      </w:r>
      <w:r w:rsidRPr="002007AB">
        <w:t xml:space="preserve"> which is more accessible to patients </w:t>
      </w:r>
    </w:p>
    <w:p w:rsidR="00D82FFE" w:rsidRPr="002007AB" w:rsidRDefault="00D82FFE" w:rsidP="0085795E">
      <w:pPr>
        <w:numPr>
          <w:ilvl w:val="0"/>
          <w:numId w:val="27"/>
        </w:numPr>
        <w:spacing w:line="240" w:lineRule="auto"/>
      </w:pPr>
      <w:r w:rsidRPr="002007AB">
        <w:t>Inpatient and outpatient diabetes education provided by certified diabetes educators</w:t>
      </w:r>
    </w:p>
    <w:p w:rsidR="005F6095" w:rsidRDefault="005F6095" w:rsidP="0085795E">
      <w:pPr>
        <w:numPr>
          <w:ilvl w:val="0"/>
          <w:numId w:val="22"/>
        </w:numPr>
        <w:spacing w:line="240" w:lineRule="auto"/>
        <w:sectPr w:rsidR="005F6095" w:rsidSect="003F4A09">
          <w:type w:val="continuous"/>
          <w:pgSz w:w="12240" w:h="15840"/>
          <w:pgMar w:top="720" w:right="720" w:bottom="720" w:left="720" w:header="720" w:footer="720" w:gutter="0"/>
          <w:cols w:num="2" w:space="720" w:equalWidth="0">
            <w:col w:w="5040" w:space="720"/>
            <w:col w:w="5040"/>
          </w:cols>
          <w:docGrid w:linePitch="360"/>
        </w:sectPr>
      </w:pPr>
    </w:p>
    <w:p w:rsidR="00D82FFE" w:rsidRDefault="00D82FFE" w:rsidP="0085795E">
      <w:pPr>
        <w:numPr>
          <w:ilvl w:val="0"/>
          <w:numId w:val="22"/>
        </w:numPr>
        <w:spacing w:line="240" w:lineRule="auto"/>
      </w:pPr>
      <w:r w:rsidRPr="002007AB">
        <w:t>Certified diabetes educator lead monthly support group</w:t>
      </w:r>
    </w:p>
    <w:p w:rsidR="00D82FFE" w:rsidRDefault="00D82FFE" w:rsidP="002007AB">
      <w:pPr>
        <w:numPr>
          <w:ilvl w:val="0"/>
          <w:numId w:val="22"/>
        </w:numPr>
        <w:spacing w:line="240" w:lineRule="auto"/>
      </w:pPr>
      <w:r w:rsidRPr="002007AB">
        <w:t xml:space="preserve">Examples of community education programs which address this need include:  community presentations on diabetes awareness and risk factors </w:t>
      </w:r>
    </w:p>
    <w:p w:rsidR="001B5604" w:rsidRPr="002007AB" w:rsidRDefault="001B5604" w:rsidP="001B5604">
      <w:pPr>
        <w:spacing w:line="240" w:lineRule="auto"/>
      </w:pPr>
    </w:p>
    <w:p w:rsidR="009E0C95" w:rsidRPr="009E0C95" w:rsidRDefault="00D82FFE" w:rsidP="002007AB">
      <w:pPr>
        <w:numPr>
          <w:ilvl w:val="0"/>
          <w:numId w:val="22"/>
        </w:numPr>
        <w:spacing w:line="240" w:lineRule="auto"/>
      </w:pPr>
      <w:r w:rsidRPr="009E0C95">
        <w:rPr>
          <w:b/>
        </w:rPr>
        <w:t>New initiative</w:t>
      </w:r>
      <w:r w:rsidR="009E0C95" w:rsidRPr="009E0C95">
        <w:t xml:space="preserve"> created </w:t>
      </w:r>
      <w:r w:rsidRPr="009E0C95">
        <w:t>to increase awareness of the risk factors for diabetes and the percentage of at risk adults who have had a blood sugar done within the past 3 years.  This will enable earlier identification and treatment, thus reducing the odds of developing harmful and costly complications.</w:t>
      </w:r>
      <w:r w:rsidR="009E0C95" w:rsidRPr="009E0C95">
        <w:t xml:space="preserve"> </w:t>
      </w:r>
    </w:p>
    <w:p w:rsidR="00D82FFE" w:rsidRPr="002007AB" w:rsidRDefault="009E0C95" w:rsidP="009E0C95">
      <w:pPr>
        <w:spacing w:line="240" w:lineRule="auto"/>
        <w:ind w:left="1440"/>
      </w:pPr>
      <w:r>
        <w:t>*Please see attached Logic Model</w:t>
      </w:r>
    </w:p>
    <w:p w:rsidR="00D82FFE" w:rsidRPr="002007AB" w:rsidRDefault="00D82FFE" w:rsidP="0085795E">
      <w:pPr>
        <w:spacing w:line="240" w:lineRule="auto"/>
        <w:ind w:left="360"/>
      </w:pPr>
    </w:p>
    <w:p w:rsidR="00D82FFE" w:rsidRDefault="00D82FFE" w:rsidP="002007AB">
      <w:pPr>
        <w:spacing w:line="240" w:lineRule="auto"/>
      </w:pPr>
    </w:p>
    <w:p w:rsidR="00D82FFE" w:rsidRDefault="00D82FFE" w:rsidP="002007AB">
      <w:pPr>
        <w:spacing w:line="240" w:lineRule="auto"/>
      </w:pPr>
    </w:p>
    <w:p w:rsidR="00D82FFE" w:rsidRDefault="00D82FFE" w:rsidP="002007AB">
      <w:pPr>
        <w:spacing w:line="240" w:lineRule="auto"/>
        <w:sectPr w:rsidR="00D82FFE" w:rsidSect="005F6095">
          <w:type w:val="continuous"/>
          <w:pgSz w:w="12240" w:h="15840"/>
          <w:pgMar w:top="720" w:right="720" w:bottom="720" w:left="720" w:header="720" w:footer="720" w:gutter="0"/>
          <w:cols w:num="2" w:space="720"/>
          <w:docGrid w:linePitch="360"/>
        </w:sectPr>
      </w:pPr>
    </w:p>
    <w:p w:rsidR="00D82FFE" w:rsidRDefault="00D82FFE" w:rsidP="002007AB">
      <w:pPr>
        <w:spacing w:line="240" w:lineRule="auto"/>
        <w:rPr>
          <w:b/>
        </w:rPr>
      </w:pPr>
      <w:r w:rsidRPr="00585F99">
        <w:rPr>
          <w:b/>
        </w:rPr>
        <w:t xml:space="preserve">  Cancer: </w:t>
      </w:r>
    </w:p>
    <w:p w:rsidR="00D82FFE" w:rsidRDefault="00D82FFE" w:rsidP="002007AB">
      <w:pPr>
        <w:spacing w:line="240" w:lineRule="auto"/>
        <w:sectPr w:rsidR="00D82FFE" w:rsidSect="005F6095">
          <w:type w:val="continuous"/>
          <w:pgSz w:w="12240" w:h="15840"/>
          <w:pgMar w:top="720" w:right="720" w:bottom="720" w:left="720" w:header="720" w:footer="720" w:gutter="0"/>
          <w:cols w:num="2" w:space="720"/>
          <w:docGrid w:linePitch="360"/>
        </w:sectPr>
      </w:pPr>
    </w:p>
    <w:p w:rsidR="00D82FFE" w:rsidRDefault="00D82FFE" w:rsidP="002007AB">
      <w:pPr>
        <w:numPr>
          <w:ilvl w:val="0"/>
          <w:numId w:val="23"/>
        </w:numPr>
        <w:spacing w:line="240" w:lineRule="auto"/>
      </w:pPr>
      <w:r>
        <w:t>Diagnostic imaging resources and skilled professional staff available on site</w:t>
      </w:r>
    </w:p>
    <w:p w:rsidR="00D82FFE" w:rsidRPr="009E0C95" w:rsidRDefault="00D82FFE" w:rsidP="002007AB">
      <w:pPr>
        <w:numPr>
          <w:ilvl w:val="0"/>
          <w:numId w:val="23"/>
        </w:numPr>
        <w:spacing w:line="240" w:lineRule="auto"/>
      </w:pPr>
      <w:r w:rsidRPr="009E0C95">
        <w:t>Stereotactic/ diagnostic imaging</w:t>
      </w:r>
      <w:r w:rsidR="009E0C95" w:rsidRPr="009E0C95">
        <w:t xml:space="preserve"> creates a “One Stop” system for women getting their mammograms who may have an ab</w:t>
      </w:r>
      <w:r w:rsidR="009E0C95">
        <w:t>normality</w:t>
      </w:r>
      <w:r w:rsidR="009E0C95" w:rsidRPr="009E0C95">
        <w:t xml:space="preserve"> </w:t>
      </w:r>
    </w:p>
    <w:p w:rsidR="009E0C95" w:rsidRPr="009E0C95" w:rsidRDefault="009E0C95" w:rsidP="002007AB">
      <w:pPr>
        <w:numPr>
          <w:ilvl w:val="0"/>
          <w:numId w:val="23"/>
        </w:numPr>
        <w:spacing w:line="240" w:lineRule="auto"/>
      </w:pPr>
      <w:r w:rsidRPr="009E0C95">
        <w:t>We have on-site Pathology</w:t>
      </w:r>
    </w:p>
    <w:p w:rsidR="00D82FFE" w:rsidRDefault="00D82FFE" w:rsidP="002007AB">
      <w:pPr>
        <w:numPr>
          <w:ilvl w:val="0"/>
          <w:numId w:val="23"/>
        </w:numPr>
        <w:spacing w:line="240" w:lineRule="auto"/>
      </w:pPr>
      <w:r>
        <w:t>An active partner in the Cancer Screening Program of Fulton Montgomery and Schenectady Counties</w:t>
      </w:r>
    </w:p>
    <w:p w:rsidR="00D82FFE" w:rsidRDefault="00D82FFE" w:rsidP="002007AB">
      <w:pPr>
        <w:numPr>
          <w:ilvl w:val="0"/>
          <w:numId w:val="23"/>
        </w:numPr>
        <w:spacing w:line="240" w:lineRule="auto"/>
      </w:pPr>
      <w:r>
        <w:t xml:space="preserve">Examples of community education programs which address this need include: programs on breast cancer awareness &amp; the need for screening,  understanding the array of diagnostic imaging tools available in our community, understanding the programs and services available post diagnosis </w:t>
      </w:r>
    </w:p>
    <w:p w:rsidR="00D82FFE" w:rsidRDefault="00D82FFE" w:rsidP="007F347D">
      <w:pPr>
        <w:numPr>
          <w:ilvl w:val="0"/>
          <w:numId w:val="23"/>
        </w:numPr>
        <w:spacing w:line="240" w:lineRule="auto"/>
      </w:pPr>
      <w:r w:rsidRPr="001B5604">
        <w:rPr>
          <w:b/>
        </w:rPr>
        <w:t>Pending grant funding:</w:t>
      </w:r>
      <w:r>
        <w:t xml:space="preserve"> a transportation program to bring women from Hamilton County to our facility for breast and cervical cancer screening. </w:t>
      </w:r>
    </w:p>
    <w:p w:rsidR="00D82FFE" w:rsidRDefault="00D82FFE" w:rsidP="002007AB">
      <w:pPr>
        <w:numPr>
          <w:ilvl w:val="0"/>
          <w:numId w:val="23"/>
        </w:numPr>
        <w:spacing w:line="240" w:lineRule="auto"/>
      </w:pPr>
      <w:r w:rsidRPr="00935ED6">
        <w:rPr>
          <w:b/>
        </w:rPr>
        <w:t>Pending:</w:t>
      </w:r>
      <w:r>
        <w:t xml:space="preserve">  In the planning stages for 2014 is breast cancer support group</w:t>
      </w:r>
    </w:p>
    <w:p w:rsidR="00D82FFE" w:rsidRDefault="00D82FFE" w:rsidP="002007AB">
      <w:pPr>
        <w:numPr>
          <w:ilvl w:val="0"/>
          <w:numId w:val="23"/>
        </w:numPr>
        <w:spacing w:line="240" w:lineRule="auto"/>
        <w:sectPr w:rsidR="00D82FFE" w:rsidSect="005F6095">
          <w:type w:val="continuous"/>
          <w:pgSz w:w="12240" w:h="15840"/>
          <w:pgMar w:top="720" w:right="720" w:bottom="720" w:left="720" w:header="720" w:footer="720" w:gutter="0"/>
          <w:cols w:num="2" w:space="720"/>
          <w:docGrid w:linePitch="360"/>
        </w:sectPr>
      </w:pPr>
    </w:p>
    <w:p w:rsidR="009E0C95" w:rsidRDefault="009E0C95" w:rsidP="002007AB">
      <w:pPr>
        <w:spacing w:line="240" w:lineRule="auto"/>
        <w:rPr>
          <w:b/>
        </w:rPr>
      </w:pPr>
    </w:p>
    <w:p w:rsidR="00D82FFE" w:rsidRPr="00E63790" w:rsidRDefault="00D82FFE" w:rsidP="002007AB">
      <w:pPr>
        <w:spacing w:line="240" w:lineRule="auto"/>
        <w:rPr>
          <w:b/>
        </w:rPr>
      </w:pPr>
      <w:r w:rsidRPr="00E63790">
        <w:rPr>
          <w:b/>
        </w:rPr>
        <w:t xml:space="preserve">Obesity:  </w:t>
      </w:r>
    </w:p>
    <w:p w:rsidR="009E0C95" w:rsidRDefault="009E0C95" w:rsidP="002007AB">
      <w:pPr>
        <w:numPr>
          <w:ilvl w:val="0"/>
          <w:numId w:val="24"/>
        </w:numPr>
        <w:spacing w:line="240" w:lineRule="auto"/>
        <w:sectPr w:rsidR="009E0C95" w:rsidSect="00A57BE2">
          <w:pgSz w:w="12240" w:h="15840"/>
          <w:pgMar w:top="720" w:right="720" w:bottom="720" w:left="720" w:header="720" w:footer="720" w:gutter="0"/>
          <w:cols w:space="720"/>
          <w:docGrid w:linePitch="360"/>
        </w:sectPr>
      </w:pPr>
    </w:p>
    <w:p w:rsidR="00D82FFE" w:rsidRPr="009E0C95" w:rsidRDefault="00D82FFE" w:rsidP="002007AB">
      <w:pPr>
        <w:numPr>
          <w:ilvl w:val="0"/>
          <w:numId w:val="24"/>
        </w:numPr>
        <w:spacing w:line="240" w:lineRule="auto"/>
      </w:pPr>
      <w:r w:rsidRPr="009E0C95">
        <w:t>Inpatient and outpatient nutrition counseling provided by registered dieticians</w:t>
      </w:r>
    </w:p>
    <w:p w:rsidR="00D82FFE" w:rsidRPr="009E0C95" w:rsidRDefault="00D82FFE" w:rsidP="002007AB">
      <w:pPr>
        <w:numPr>
          <w:ilvl w:val="0"/>
          <w:numId w:val="24"/>
        </w:numPr>
        <w:spacing w:line="240" w:lineRule="auto"/>
      </w:pPr>
      <w:r w:rsidRPr="009E0C95">
        <w:t>One half mile paved walking track on the Hospital grounds, open to the public</w:t>
      </w:r>
    </w:p>
    <w:p w:rsidR="00D82FFE" w:rsidRPr="009E0C95" w:rsidRDefault="00D82FFE" w:rsidP="007F347D">
      <w:pPr>
        <w:numPr>
          <w:ilvl w:val="0"/>
          <w:numId w:val="24"/>
        </w:numPr>
        <w:spacing w:line="240" w:lineRule="auto"/>
      </w:pPr>
      <w:r w:rsidRPr="009E0C95">
        <w:t>Employee</w:t>
      </w:r>
      <w:r w:rsidR="009E0C95">
        <w:t>-</w:t>
      </w:r>
      <w:r w:rsidRPr="009E0C95">
        <w:t xml:space="preserve"> driven weight loss and nutrition education programs at the Hospital, ex activities like </w:t>
      </w:r>
      <w:proofErr w:type="spellStart"/>
      <w:r w:rsidRPr="009E0C95">
        <w:t>Zumba</w:t>
      </w:r>
      <w:proofErr w:type="spellEnd"/>
      <w:r w:rsidRPr="009E0C95">
        <w:t xml:space="preserve"> and walking challenges. Weight watchers, biggest looser challenges for our staff to maintain optimum health.</w:t>
      </w:r>
    </w:p>
    <w:p w:rsidR="00D82FFE" w:rsidRDefault="00D82FFE" w:rsidP="002007AB">
      <w:pPr>
        <w:numPr>
          <w:ilvl w:val="0"/>
          <w:numId w:val="24"/>
        </w:numPr>
        <w:spacing w:line="240" w:lineRule="auto"/>
      </w:pPr>
      <w:r>
        <w:t>Community education / outreach initiatives to improve healthy eating and increase activity include:  Participated in the planning and implementation of a regional conference addressing issue,  introduced Complete Streets concept at a local community forum, hold monthly hikes and walks, engaging schools to participate in the Safe Routes to School Program (Walk / Bike to School Days) with the goal of shifting the norm, support Boys &amp; Girls Club community garden located adjacent to low income housing</w:t>
      </w:r>
    </w:p>
    <w:p w:rsidR="009E0C95" w:rsidRDefault="009E0C95" w:rsidP="002007AB">
      <w:pPr>
        <w:spacing w:line="240" w:lineRule="auto"/>
        <w:ind w:left="360"/>
        <w:sectPr w:rsidR="009E0C95" w:rsidSect="009E0C95">
          <w:type w:val="continuous"/>
          <w:pgSz w:w="12240" w:h="15840"/>
          <w:pgMar w:top="720" w:right="720" w:bottom="720" w:left="720" w:header="720" w:footer="720" w:gutter="0"/>
          <w:cols w:num="2" w:space="720"/>
          <w:docGrid w:linePitch="360"/>
        </w:sectPr>
      </w:pPr>
    </w:p>
    <w:p w:rsidR="00D82FFE" w:rsidRDefault="00D82FFE" w:rsidP="002007AB">
      <w:pPr>
        <w:spacing w:line="240" w:lineRule="auto"/>
        <w:ind w:left="360"/>
      </w:pPr>
    </w:p>
    <w:p w:rsidR="00D82FFE" w:rsidRDefault="009E0C95" w:rsidP="009E532F">
      <w:r>
        <w:rPr>
          <w:b/>
          <w:bCs/>
        </w:rPr>
        <w:t>O</w:t>
      </w:r>
      <w:r w:rsidR="00D82FFE">
        <w:rPr>
          <w:b/>
          <w:bCs/>
        </w:rPr>
        <w:t xml:space="preserve">ther:  </w:t>
      </w:r>
      <w:r w:rsidR="00D82FFE" w:rsidRPr="009E0C95">
        <w:t xml:space="preserve">Although </w:t>
      </w:r>
      <w:proofErr w:type="spellStart"/>
      <w:r w:rsidR="00D82FFE" w:rsidRPr="009E0C95">
        <w:rPr>
          <w:bCs/>
        </w:rPr>
        <w:t>musculo</w:t>
      </w:r>
      <w:proofErr w:type="spellEnd"/>
      <w:r w:rsidR="00D82FFE" w:rsidRPr="009E0C95">
        <w:rPr>
          <w:bCs/>
        </w:rPr>
        <w:t xml:space="preserve">-skeletal </w:t>
      </w:r>
      <w:r w:rsidR="00D82FFE" w:rsidRPr="009E0C95">
        <w:t>conditions</w:t>
      </w:r>
      <w:r w:rsidR="00D82FFE">
        <w:t xml:space="preserve"> were not identified as a significant need, they are ABSOLUTELY related to obesity as they impact an individual’s ability to lead an active lifestyle.    Littauer offers:</w:t>
      </w:r>
    </w:p>
    <w:p w:rsidR="00D82FFE" w:rsidRDefault="00D82FFE" w:rsidP="00877698">
      <w:pPr>
        <w:numPr>
          <w:ilvl w:val="0"/>
          <w:numId w:val="30"/>
        </w:numPr>
      </w:pPr>
      <w:r>
        <w:t>a very active inpatient / outpatient physical rehab program</w:t>
      </w:r>
    </w:p>
    <w:p w:rsidR="00D82FFE" w:rsidRDefault="00D82FFE" w:rsidP="00877698">
      <w:pPr>
        <w:numPr>
          <w:ilvl w:val="0"/>
          <w:numId w:val="30"/>
        </w:numPr>
        <w:sectPr w:rsidR="00D82FFE" w:rsidSect="009E0C95">
          <w:type w:val="continuous"/>
          <w:pgSz w:w="12240" w:h="15840"/>
          <w:pgMar w:top="720" w:right="720" w:bottom="720" w:left="720" w:header="720" w:footer="720" w:gutter="0"/>
          <w:cols w:space="720"/>
          <w:docGrid w:linePitch="360"/>
        </w:sectPr>
      </w:pPr>
      <w:r>
        <w:t xml:space="preserve">Examples of community education programs held to address this need include: Arthritis Tai Chi and programs presented by professional rehab staff to increase awareness of some of the more common </w:t>
      </w:r>
      <w:proofErr w:type="spellStart"/>
      <w:r>
        <w:t>musculo</w:t>
      </w:r>
      <w:proofErr w:type="spellEnd"/>
      <w:r>
        <w:t xml:space="preserve">-skeletal ailments, focusing on causes, prevention and treatment options.  </w:t>
      </w:r>
    </w:p>
    <w:p w:rsidR="00D82FFE" w:rsidRDefault="00D82FFE" w:rsidP="00877698">
      <w:pPr>
        <w:sectPr w:rsidR="00D82FFE" w:rsidSect="007F347D">
          <w:type w:val="continuous"/>
          <w:pgSz w:w="12240" w:h="15840"/>
          <w:pgMar w:top="720" w:right="720" w:bottom="720" w:left="720" w:header="720" w:footer="720" w:gutter="0"/>
          <w:cols w:num="2" w:space="720" w:equalWidth="0">
            <w:col w:w="5040" w:space="720"/>
            <w:col w:w="5040"/>
          </w:cols>
          <w:docGrid w:linePitch="360"/>
        </w:sectPr>
      </w:pPr>
    </w:p>
    <w:p w:rsidR="00D82FFE" w:rsidRPr="009E0C95" w:rsidRDefault="00D82FFE" w:rsidP="002007AB">
      <w:pPr>
        <w:spacing w:line="240" w:lineRule="auto"/>
        <w:rPr>
          <w:b/>
          <w:i/>
          <w:sz w:val="24"/>
          <w:szCs w:val="24"/>
        </w:rPr>
      </w:pPr>
      <w:r w:rsidRPr="009E0C95">
        <w:rPr>
          <w:b/>
          <w:sz w:val="28"/>
          <w:szCs w:val="28"/>
        </w:rPr>
        <w:t>Promote a</w:t>
      </w:r>
      <w:r w:rsidR="009E0C95">
        <w:rPr>
          <w:b/>
          <w:sz w:val="28"/>
          <w:szCs w:val="28"/>
        </w:rPr>
        <w:t xml:space="preserve"> Healthy &amp; Safe Environment </w:t>
      </w:r>
      <w:r w:rsidRPr="009E0C95">
        <w:rPr>
          <w:b/>
          <w:sz w:val="28"/>
          <w:szCs w:val="28"/>
        </w:rPr>
        <w:t xml:space="preserve">  </w:t>
      </w:r>
    </w:p>
    <w:p w:rsidR="00D82FFE" w:rsidRPr="009E0C95" w:rsidRDefault="00D82FFE" w:rsidP="002007AB">
      <w:r w:rsidRPr="009E0C95">
        <w:rPr>
          <w:b/>
        </w:rPr>
        <w:t xml:space="preserve">Other existing agencies and community based organizations addressing </w:t>
      </w:r>
      <w:proofErr w:type="gramStart"/>
      <w:r w:rsidRPr="009E0C95">
        <w:rPr>
          <w:b/>
        </w:rPr>
        <w:t>need</w:t>
      </w:r>
      <w:r w:rsidRPr="009E0C95">
        <w:t xml:space="preserve">  OSHA</w:t>
      </w:r>
      <w:proofErr w:type="gramEnd"/>
      <w:r w:rsidRPr="009E0C95">
        <w:t xml:space="preserve">, </w:t>
      </w:r>
      <w:proofErr w:type="spellStart"/>
      <w:r w:rsidRPr="009E0C95">
        <w:t>NYS</w:t>
      </w:r>
      <w:proofErr w:type="spellEnd"/>
      <w:r w:rsidRPr="009E0C95">
        <w:t xml:space="preserve"> </w:t>
      </w:r>
      <w:proofErr w:type="spellStart"/>
      <w:r w:rsidRPr="009E0C95">
        <w:t>EnCon</w:t>
      </w:r>
      <w:proofErr w:type="spellEnd"/>
      <w:r w:rsidRPr="009E0C95">
        <w:t xml:space="preserve">, </w:t>
      </w:r>
      <w:proofErr w:type="spellStart"/>
      <w:r w:rsidRPr="009E0C95">
        <w:t>DOH</w:t>
      </w:r>
      <w:proofErr w:type="spellEnd"/>
      <w:r w:rsidRPr="009E0C95">
        <w:t>, Dept Ag,  Farmer’s Markets, CCE, local schools, DPW, police &amp; fire departments</w:t>
      </w:r>
      <w:r w:rsidR="009E0C95">
        <w:t>, FEMA, The Tick Resource Center, University of Rhode Island.</w:t>
      </w:r>
    </w:p>
    <w:p w:rsidR="00D82FFE" w:rsidRDefault="00D82FFE" w:rsidP="002007AB">
      <w:pPr>
        <w:rPr>
          <w:highlight w:val="magenta"/>
        </w:rPr>
        <w:sectPr w:rsidR="00D82FFE" w:rsidSect="007F347D">
          <w:type w:val="continuous"/>
          <w:pgSz w:w="12240" w:h="15840"/>
          <w:pgMar w:top="720" w:right="720" w:bottom="720" w:left="720" w:header="720" w:footer="720" w:gutter="0"/>
          <w:cols w:space="720"/>
          <w:docGrid w:linePitch="360"/>
        </w:sectPr>
      </w:pPr>
      <w:r w:rsidRPr="002007AB">
        <w:rPr>
          <w:b/>
        </w:rPr>
        <w:t>What NLH is doing to addres</w:t>
      </w:r>
      <w:r>
        <w:rPr>
          <w:b/>
        </w:rPr>
        <w:t>s,</w:t>
      </w:r>
      <w:r w:rsidRPr="00BF74B7">
        <w:t xml:space="preserve"> </w:t>
      </w:r>
      <w:r w:rsidRPr="00000093">
        <w:t>the</w:t>
      </w:r>
      <w:r>
        <w:t xml:space="preserve"> accomplishments, </w:t>
      </w:r>
      <w:r w:rsidRPr="00000093">
        <w:t>initiatives</w:t>
      </w:r>
      <w:r>
        <w:t xml:space="preserve"> &amp; programs in place to help address this area are as follows:</w:t>
      </w:r>
    </w:p>
    <w:p w:rsidR="00D82FFE" w:rsidRPr="009E0C95" w:rsidRDefault="00D82FFE" w:rsidP="009E532F">
      <w:pPr>
        <w:numPr>
          <w:ilvl w:val="0"/>
          <w:numId w:val="33"/>
        </w:numPr>
      </w:pPr>
      <w:r w:rsidRPr="009E0C95">
        <w:t>Hospital wide community initiatives  - N</w:t>
      </w:r>
      <w:r w:rsidR="009E0C95" w:rsidRPr="009E0C95">
        <w:t>o</w:t>
      </w:r>
      <w:r w:rsidRPr="009E0C95">
        <w:t xml:space="preserve"> texting and driving, Tick</w:t>
      </w:r>
      <w:r w:rsidR="009E0C95" w:rsidRPr="009E0C95">
        <w:t xml:space="preserve"> Bite Prevention</w:t>
      </w:r>
      <w:r w:rsidRPr="009E0C95">
        <w:t>, Stop sports injury, community wide disaster training</w:t>
      </w:r>
    </w:p>
    <w:p w:rsidR="00D82FFE" w:rsidRPr="009E0C95" w:rsidRDefault="00D82FFE" w:rsidP="009E532F">
      <w:pPr>
        <w:numPr>
          <w:ilvl w:val="0"/>
          <w:numId w:val="33"/>
        </w:numPr>
      </w:pPr>
      <w:r w:rsidRPr="009E0C95">
        <w:t>Hospital wide internal initiatives - Staff disaster training, Active shooter training, Food on hand in NLH</w:t>
      </w:r>
      <w:r w:rsidR="009E0C95" w:rsidRPr="009E0C95">
        <w:t xml:space="preserve"> in the event of a disaster</w:t>
      </w:r>
    </w:p>
    <w:p w:rsidR="00D82FFE" w:rsidRDefault="00D82FFE" w:rsidP="009E532F">
      <w:pPr>
        <w:numPr>
          <w:ilvl w:val="0"/>
          <w:numId w:val="33"/>
        </w:numPr>
      </w:pPr>
      <w:r w:rsidRPr="009E0C95">
        <w:t xml:space="preserve">½  mile paved walking track  open to the community </w:t>
      </w:r>
    </w:p>
    <w:p w:rsidR="009E0C95" w:rsidRDefault="009E0C95" w:rsidP="009E532F">
      <w:pPr>
        <w:numPr>
          <w:ilvl w:val="0"/>
          <w:numId w:val="33"/>
        </w:numPr>
      </w:pPr>
      <w:r>
        <w:t xml:space="preserve">Over 100 Littauer staff </w:t>
      </w:r>
      <w:proofErr w:type="gramStart"/>
      <w:r>
        <w:t>are</w:t>
      </w:r>
      <w:proofErr w:type="gramEnd"/>
      <w:r>
        <w:t xml:space="preserve"> certified by FEMA’s incident command Emergency Management Institute.  </w:t>
      </w:r>
    </w:p>
    <w:p w:rsidR="009E0C95" w:rsidRDefault="009E0C95" w:rsidP="009E532F">
      <w:pPr>
        <w:numPr>
          <w:ilvl w:val="0"/>
          <w:numId w:val="33"/>
        </w:numPr>
      </w:pPr>
      <w:r>
        <w:t xml:space="preserve">Littauer’s Lifeline provides free falls- prevention home assessments </w:t>
      </w:r>
    </w:p>
    <w:p w:rsidR="009E0C95" w:rsidRDefault="009E0C95" w:rsidP="009E0C95">
      <w:pPr>
        <w:pStyle w:val="ListParagraph"/>
        <w:numPr>
          <w:ilvl w:val="0"/>
          <w:numId w:val="33"/>
        </w:numPr>
      </w:pPr>
      <w:r>
        <w:t>Nathan Littauer offered advice to hunters via the media about avoiding hunting accidents</w:t>
      </w:r>
    </w:p>
    <w:p w:rsidR="009E0C95" w:rsidRDefault="009E0C95" w:rsidP="009E532F">
      <w:pPr>
        <w:numPr>
          <w:ilvl w:val="0"/>
          <w:numId w:val="33"/>
        </w:numPr>
      </w:pPr>
      <w:r>
        <w:t xml:space="preserve">Littauer’s primary care centers are stocked with PCB information about eating fish in our </w:t>
      </w:r>
      <w:r w:rsidRPr="009E0C95">
        <w:t>area lakes</w:t>
      </w:r>
    </w:p>
    <w:p w:rsidR="009E0C95" w:rsidRPr="009E0C95" w:rsidRDefault="009E0C95" w:rsidP="009E532F">
      <w:pPr>
        <w:numPr>
          <w:ilvl w:val="0"/>
          <w:numId w:val="33"/>
        </w:numPr>
      </w:pPr>
      <w:r>
        <w:t>We sent out tick bite shower cards to 67 area camp grounds</w:t>
      </w:r>
    </w:p>
    <w:p w:rsidR="009E0C95" w:rsidRPr="009E0C95" w:rsidRDefault="009E0C95" w:rsidP="009E0C95">
      <w:pPr>
        <w:ind w:left="360"/>
        <w:rPr>
          <w:highlight w:val="magenta"/>
        </w:rPr>
      </w:pPr>
      <w:r>
        <w:t xml:space="preserve"> </w:t>
      </w:r>
      <w:r>
        <w:sym w:font="Symbol" w:char="F0B7"/>
      </w:r>
      <w:r>
        <w:t xml:space="preserve">    E</w:t>
      </w:r>
      <w:r w:rsidRPr="009E0C95">
        <w:t>xamples of community education programs are held to address this need include: Home Sneeze Home</w:t>
      </w:r>
      <w:r>
        <w:t xml:space="preserve"> Asthma Series</w:t>
      </w:r>
      <w:r w:rsidRPr="009E0C95">
        <w:t xml:space="preserve">, Improve Balance Prevent Falls, Lifeline, Defensive Driving, </w:t>
      </w:r>
      <w:r>
        <w:t xml:space="preserve">participation </w:t>
      </w:r>
      <w:r w:rsidRPr="009E0C95">
        <w:t>in Safe Routes to</w:t>
      </w:r>
      <w:r>
        <w:t xml:space="preserve"> School initiative (ex Walk / Bike to School days, coordinating bike and walking safety presentation for students), outdoor safety programs including Map &amp; Compass, and outdoor survival</w:t>
      </w:r>
    </w:p>
    <w:p w:rsidR="009E0C95" w:rsidRDefault="009E0C95" w:rsidP="009E532F">
      <w:pPr>
        <w:numPr>
          <w:ilvl w:val="0"/>
          <w:numId w:val="33"/>
        </w:numPr>
      </w:pPr>
      <w:r w:rsidRPr="009E0C95">
        <w:rPr>
          <w:b/>
        </w:rPr>
        <w:t>New Initiative-</w:t>
      </w:r>
      <w:r>
        <w:t xml:space="preserve"> Nathan Littauer will be starting a new initiative to address our high rates of children lead poisoning. This initiate will encourage screening at the primary care level and will attempt to address lead abatement in our community’s older housing stock</w:t>
      </w:r>
    </w:p>
    <w:p w:rsidR="009E0C95" w:rsidRPr="009E0C95" w:rsidRDefault="009E0C95" w:rsidP="009E0C95">
      <w:pPr>
        <w:ind w:left="720"/>
      </w:pPr>
      <w:r w:rsidRPr="009E0C95">
        <w:t xml:space="preserve">*Please see attached logic model </w:t>
      </w:r>
    </w:p>
    <w:p w:rsidR="00D82FFE" w:rsidRDefault="00D82FFE" w:rsidP="009E0C95">
      <w:pPr>
        <w:pStyle w:val="ListParagraph"/>
        <w:numPr>
          <w:ilvl w:val="0"/>
          <w:numId w:val="33"/>
        </w:numPr>
        <w:sectPr w:rsidR="00D82FFE" w:rsidSect="009E532F">
          <w:type w:val="continuous"/>
          <w:pgSz w:w="12240" w:h="15840"/>
          <w:pgMar w:top="720" w:right="720" w:bottom="720" w:left="720" w:header="720" w:footer="720" w:gutter="0"/>
          <w:cols w:num="2" w:space="720" w:equalWidth="0">
            <w:col w:w="5040" w:space="720"/>
            <w:col w:w="5040"/>
          </w:cols>
          <w:docGrid w:linePitch="360"/>
        </w:sectPr>
      </w:pPr>
    </w:p>
    <w:p w:rsidR="00D82FFE" w:rsidRDefault="00D82FFE" w:rsidP="002007AB">
      <w:pPr>
        <w:spacing w:line="240" w:lineRule="auto"/>
        <w:rPr>
          <w:b/>
          <w:sz w:val="28"/>
          <w:szCs w:val="28"/>
        </w:rPr>
      </w:pPr>
    </w:p>
    <w:p w:rsidR="00D82FFE" w:rsidRPr="00FD302B" w:rsidRDefault="00D82FFE" w:rsidP="002007AB">
      <w:pPr>
        <w:spacing w:line="240" w:lineRule="auto"/>
        <w:rPr>
          <w:b/>
          <w:sz w:val="28"/>
          <w:szCs w:val="28"/>
        </w:rPr>
      </w:pPr>
      <w:r w:rsidRPr="00FD302B">
        <w:rPr>
          <w:b/>
          <w:sz w:val="28"/>
          <w:szCs w:val="28"/>
        </w:rPr>
        <w:t>Promote Healthy Women, Infants &amp; Children</w:t>
      </w:r>
    </w:p>
    <w:p w:rsidR="00D82FFE" w:rsidRPr="00F54F0D" w:rsidRDefault="00D82FFE" w:rsidP="00F54F0D">
      <w:r w:rsidRPr="009E0C95">
        <w:rPr>
          <w:b/>
          <w:bCs/>
        </w:rPr>
        <w:t>Other community partners, or existing agencies and community based organizations addressing need</w:t>
      </w:r>
      <w:r w:rsidRPr="009E0C95">
        <w:t>:   WIC, Fulton County Public Health, Planned Parenthood, Cornell Cooperative Extension,</w:t>
      </w:r>
      <w:proofErr w:type="gramStart"/>
      <w:r w:rsidRPr="009E0C95">
        <w:t>  local</w:t>
      </w:r>
      <w:proofErr w:type="gramEnd"/>
      <w:r w:rsidRPr="009E0C95">
        <w:t xml:space="preserve"> farmers markets and food cooperative</w:t>
      </w:r>
    </w:p>
    <w:p w:rsidR="00D82FFE" w:rsidRDefault="00D82FFE" w:rsidP="00F54F0D">
      <w:r w:rsidRPr="002007AB">
        <w:rPr>
          <w:b/>
        </w:rPr>
        <w:t>What NLH is doing to addres</w:t>
      </w:r>
      <w:r>
        <w:rPr>
          <w:b/>
        </w:rPr>
        <w:t>s,</w:t>
      </w:r>
      <w:r w:rsidRPr="00BF74B7">
        <w:t xml:space="preserve"> </w:t>
      </w:r>
      <w:r w:rsidRPr="00000093">
        <w:t>the</w:t>
      </w:r>
      <w:r>
        <w:t xml:space="preserve"> accomplishments, </w:t>
      </w:r>
      <w:r w:rsidRPr="00000093">
        <w:t>initiatives</w:t>
      </w:r>
      <w:r>
        <w:t xml:space="preserve"> &amp; programs in place to help address this area are as follows:</w:t>
      </w:r>
    </w:p>
    <w:p w:rsidR="00D82FFE" w:rsidRDefault="00D82FFE" w:rsidP="00F54F0D">
      <w:pPr>
        <w:pStyle w:val="ListParagraph"/>
        <w:ind w:left="360"/>
        <w:rPr>
          <w:b/>
          <w:bCs/>
          <w:highlight w:val="yellow"/>
        </w:rPr>
        <w:sectPr w:rsidR="00D82FFE" w:rsidSect="007F347D">
          <w:type w:val="continuous"/>
          <w:pgSz w:w="12240" w:h="15840"/>
          <w:pgMar w:top="720" w:right="720" w:bottom="720" w:left="720" w:header="720" w:footer="720" w:gutter="0"/>
          <w:cols w:space="720"/>
          <w:docGrid w:linePitch="360"/>
        </w:sectPr>
      </w:pPr>
    </w:p>
    <w:p w:rsidR="00D82FFE" w:rsidRDefault="00D82FFE" w:rsidP="009E0C95">
      <w:pPr>
        <w:pStyle w:val="ListParagraph"/>
        <w:numPr>
          <w:ilvl w:val="0"/>
          <w:numId w:val="33"/>
        </w:numPr>
      </w:pPr>
      <w:r>
        <w:t xml:space="preserve">On site  </w:t>
      </w:r>
      <w:hyperlink r:id="rId10" w:history="1">
        <w:r w:rsidRPr="009E0C95">
          <w:rPr>
            <w:rStyle w:val="Hyperlink"/>
            <w:color w:val="auto"/>
            <w:sz w:val="21"/>
            <w:szCs w:val="21"/>
            <w:u w:val="none"/>
          </w:rPr>
          <w:t>OB/GYN healthcare providers</w:t>
        </w:r>
      </w:hyperlink>
      <w:r w:rsidRPr="00F54F0D">
        <w:t xml:space="preserve"> i</w:t>
      </w:r>
      <w:r>
        <w:t>nclude Board-Certified physicians, Women’s Health Nurse Practitioners, certified Nurse-midwives</w:t>
      </w:r>
      <w:r w:rsidRPr="007864B7">
        <w:t xml:space="preserve">, 3 certified lactation </w:t>
      </w:r>
      <w:r w:rsidR="009E0C95">
        <w:t>counselors</w:t>
      </w:r>
    </w:p>
    <w:p w:rsidR="00D82FFE" w:rsidRDefault="00D82FFE" w:rsidP="009E0C95">
      <w:pPr>
        <w:pStyle w:val="NormalWeb"/>
        <w:numPr>
          <w:ilvl w:val="0"/>
          <w:numId w:val="33"/>
        </w:numPr>
        <w:shd w:val="clear" w:color="auto" w:fill="FFFFFF"/>
        <w:spacing w:line="300" w:lineRule="atLeast"/>
        <w:rPr>
          <w:rFonts w:ascii="Calibri" w:hAnsi="Calibri"/>
          <w:sz w:val="21"/>
          <w:szCs w:val="21"/>
        </w:rPr>
      </w:pPr>
      <w:r>
        <w:rPr>
          <w:rFonts w:ascii="Calibri" w:hAnsi="Calibri"/>
          <w:sz w:val="21"/>
          <w:szCs w:val="21"/>
        </w:rPr>
        <w:t xml:space="preserve">Facility offers a Birthing Center which reflects today’s state-of-the-art patient care </w:t>
      </w:r>
      <w:r w:rsidR="009E0C95">
        <w:rPr>
          <w:rFonts w:ascii="Calibri" w:hAnsi="Calibri"/>
          <w:sz w:val="21"/>
          <w:szCs w:val="21"/>
        </w:rPr>
        <w:t>designed with safety bands for baby, and family centric rooms and common areas</w:t>
      </w:r>
    </w:p>
    <w:p w:rsidR="00D82FFE" w:rsidRDefault="00D82FFE" w:rsidP="009E0C95">
      <w:pPr>
        <w:pStyle w:val="NormalWeb"/>
        <w:numPr>
          <w:ilvl w:val="0"/>
          <w:numId w:val="33"/>
        </w:numPr>
        <w:shd w:val="clear" w:color="auto" w:fill="FFFFFF"/>
        <w:spacing w:line="300" w:lineRule="atLeast"/>
        <w:rPr>
          <w:rFonts w:ascii="Calibri" w:hAnsi="Calibri"/>
          <w:sz w:val="21"/>
          <w:szCs w:val="21"/>
        </w:rPr>
      </w:pPr>
      <w:r>
        <w:rPr>
          <w:rFonts w:ascii="Calibri" w:hAnsi="Calibri"/>
          <w:sz w:val="21"/>
          <w:szCs w:val="21"/>
        </w:rPr>
        <w:t>Also available is a designated pediatric unit staffed with specially trained pediatric nurses</w:t>
      </w:r>
    </w:p>
    <w:p w:rsidR="00D82FFE" w:rsidRPr="009E0C95" w:rsidRDefault="009E0C95" w:rsidP="009E0C95">
      <w:pPr>
        <w:pStyle w:val="NormalWeb"/>
        <w:numPr>
          <w:ilvl w:val="0"/>
          <w:numId w:val="33"/>
        </w:numPr>
        <w:shd w:val="clear" w:color="auto" w:fill="FFFFFF"/>
        <w:spacing w:line="300" w:lineRule="atLeast"/>
        <w:rPr>
          <w:rFonts w:ascii="Calibri" w:hAnsi="Calibri"/>
          <w:sz w:val="21"/>
          <w:szCs w:val="21"/>
        </w:rPr>
      </w:pPr>
      <w:r w:rsidRPr="009E0C95">
        <w:rPr>
          <w:rFonts w:ascii="Calibri" w:hAnsi="Calibri"/>
          <w:sz w:val="21"/>
          <w:szCs w:val="21"/>
        </w:rPr>
        <w:t xml:space="preserve">Many of our Birthing Center is staff hold individual certifications in Fetal Monitoring, Childbirth Education, Pediatric Advanced Life Support </w:t>
      </w:r>
      <w:r w:rsidR="001B5604" w:rsidRPr="009E0C95">
        <w:rPr>
          <w:rFonts w:ascii="Calibri" w:hAnsi="Calibri"/>
          <w:sz w:val="21"/>
          <w:szCs w:val="21"/>
        </w:rPr>
        <w:t>and Inpatient</w:t>
      </w:r>
      <w:r>
        <w:rPr>
          <w:rFonts w:ascii="Calibri" w:hAnsi="Calibri"/>
          <w:sz w:val="21"/>
          <w:szCs w:val="21"/>
        </w:rPr>
        <w:t xml:space="preserve"> O</w:t>
      </w:r>
      <w:r w:rsidRPr="009E0C95">
        <w:rPr>
          <w:rFonts w:ascii="Calibri" w:hAnsi="Calibri"/>
          <w:sz w:val="21"/>
          <w:szCs w:val="21"/>
        </w:rPr>
        <w:t>bstetrics. They all are certified in Neonatal resuscitation,</w:t>
      </w:r>
      <w:r>
        <w:rPr>
          <w:rFonts w:ascii="Calibri" w:hAnsi="Calibri"/>
          <w:sz w:val="21"/>
          <w:szCs w:val="21"/>
        </w:rPr>
        <w:t xml:space="preserve"> </w:t>
      </w:r>
      <w:r w:rsidRPr="009E0C95">
        <w:rPr>
          <w:rFonts w:ascii="Calibri" w:hAnsi="Calibri"/>
          <w:sz w:val="21"/>
          <w:szCs w:val="21"/>
        </w:rPr>
        <w:t>and 4 are instructors. Staff are also all ACLS, and BLS certified</w:t>
      </w:r>
    </w:p>
    <w:p w:rsidR="00D82FFE" w:rsidRDefault="00D82FFE" w:rsidP="009E0C95">
      <w:pPr>
        <w:pStyle w:val="ListParagraph"/>
        <w:numPr>
          <w:ilvl w:val="0"/>
          <w:numId w:val="33"/>
        </w:numPr>
        <w:spacing w:line="240" w:lineRule="auto"/>
        <w:contextualSpacing w:val="0"/>
        <w:rPr>
          <w:b/>
          <w:bCs/>
        </w:rPr>
      </w:pPr>
      <w:r>
        <w:t>Examples of ongoing community education programs which address this need include:  childbirth preparation, breastfeeding and parenting education as well as a breastfeeding support group</w:t>
      </w:r>
    </w:p>
    <w:p w:rsidR="00D82FFE" w:rsidRPr="009E0C95" w:rsidRDefault="00D82FFE" w:rsidP="009E0C95">
      <w:pPr>
        <w:pStyle w:val="ListParagraph"/>
        <w:numPr>
          <w:ilvl w:val="0"/>
          <w:numId w:val="33"/>
        </w:numPr>
        <w:spacing w:line="240" w:lineRule="auto"/>
        <w:rPr>
          <w:b/>
        </w:rPr>
      </w:pPr>
      <w:r w:rsidRPr="009E0C95">
        <w:rPr>
          <w:b/>
          <w:bCs/>
        </w:rPr>
        <w:t>New initiative</w:t>
      </w:r>
      <w:r>
        <w:t xml:space="preserve"> for 2013-2015</w:t>
      </w:r>
      <w:r w:rsidR="009E0C95">
        <w:t xml:space="preserve"> </w:t>
      </w:r>
      <w:r>
        <w:t>will be to increase the</w:t>
      </w:r>
      <w:r w:rsidRPr="009E0C95">
        <w:rPr>
          <w:b/>
          <w:bCs/>
        </w:rPr>
        <w:t xml:space="preserve"> </w:t>
      </w:r>
      <w:r>
        <w:t>proportion of children who receive lead screening as a key recommended preventive health service as part of routine well child care</w:t>
      </w:r>
    </w:p>
    <w:p w:rsidR="00D82FFE" w:rsidRPr="009E0C95" w:rsidRDefault="00D82FFE" w:rsidP="009E0C95">
      <w:pPr>
        <w:pStyle w:val="ListParagraph"/>
        <w:numPr>
          <w:ilvl w:val="0"/>
          <w:numId w:val="33"/>
        </w:numPr>
        <w:rPr>
          <w:bCs/>
        </w:rPr>
      </w:pPr>
      <w:r w:rsidRPr="009E0C95">
        <w:rPr>
          <w:bCs/>
        </w:rPr>
        <w:t>Free advice line to our Birthing Center</w:t>
      </w:r>
    </w:p>
    <w:p w:rsidR="009E0C95" w:rsidRPr="009E0C95" w:rsidRDefault="009E0C95" w:rsidP="009E0C95">
      <w:pPr>
        <w:pStyle w:val="ListParagraph"/>
        <w:numPr>
          <w:ilvl w:val="0"/>
          <w:numId w:val="33"/>
        </w:numPr>
        <w:rPr>
          <w:bCs/>
        </w:rPr>
      </w:pPr>
      <w:r w:rsidRPr="009E0C95">
        <w:rPr>
          <w:bCs/>
        </w:rPr>
        <w:t>We have new breast feeding pumps to encourage breast feeding in the hospital setting.</w:t>
      </w:r>
    </w:p>
    <w:p w:rsidR="009E0C95" w:rsidRPr="009E0C95" w:rsidRDefault="009E0C95" w:rsidP="009E0C95">
      <w:pPr>
        <w:pStyle w:val="ListParagraph"/>
        <w:numPr>
          <w:ilvl w:val="0"/>
          <w:numId w:val="33"/>
        </w:numPr>
        <w:rPr>
          <w:bCs/>
        </w:rPr>
      </w:pPr>
      <w:r>
        <w:rPr>
          <w:b/>
          <w:bCs/>
        </w:rPr>
        <w:t xml:space="preserve"> </w:t>
      </w:r>
      <w:r w:rsidRPr="009E0C95">
        <w:rPr>
          <w:bCs/>
        </w:rPr>
        <w:t xml:space="preserve">We offer free baby weigh-ins for new mothers to assess nutrition </w:t>
      </w:r>
    </w:p>
    <w:p w:rsidR="00D82FFE" w:rsidRPr="009E0C95" w:rsidRDefault="009E0C95" w:rsidP="009E0C95">
      <w:pPr>
        <w:pStyle w:val="ListParagraph"/>
        <w:numPr>
          <w:ilvl w:val="0"/>
          <w:numId w:val="33"/>
        </w:numPr>
      </w:pPr>
      <w:r w:rsidRPr="009E0C95">
        <w:t xml:space="preserve">We have a cooperative agreement with the </w:t>
      </w:r>
      <w:r w:rsidR="00D82FFE" w:rsidRPr="009E0C95">
        <w:t xml:space="preserve">Family Counseling Center </w:t>
      </w:r>
      <w:r w:rsidRPr="009E0C95">
        <w:t>, designed to address children  and families in crisis</w:t>
      </w:r>
    </w:p>
    <w:p w:rsidR="00D82FFE" w:rsidRPr="009E0C95" w:rsidRDefault="009E0C95" w:rsidP="009E0C95">
      <w:pPr>
        <w:pStyle w:val="ListParagraph"/>
        <w:numPr>
          <w:ilvl w:val="0"/>
          <w:numId w:val="33"/>
        </w:numPr>
      </w:pPr>
      <w:r w:rsidRPr="009E0C95">
        <w:t>We offer backpack safety to all school aged children</w:t>
      </w:r>
      <w:r>
        <w:t xml:space="preserve">, weighing the backpack and offering ideal weights for the child’s size. We created flyers which address the issue and we send out to all schools. </w:t>
      </w:r>
    </w:p>
    <w:p w:rsidR="009E0C95" w:rsidRPr="009E0C95" w:rsidRDefault="009E0C95" w:rsidP="009E0C95">
      <w:pPr>
        <w:pStyle w:val="ListParagraph"/>
        <w:numPr>
          <w:ilvl w:val="0"/>
          <w:numId w:val="33"/>
        </w:numPr>
      </w:pPr>
      <w:r w:rsidRPr="009E0C95">
        <w:t>We used a social media campaign to ad</w:t>
      </w:r>
      <w:r>
        <w:t>dress safe sledding techniques</w:t>
      </w:r>
    </w:p>
    <w:p w:rsidR="00D82FFE" w:rsidRDefault="00D82FFE" w:rsidP="009E0C95">
      <w:pPr>
        <w:pStyle w:val="ListParagraph"/>
        <w:numPr>
          <w:ilvl w:val="0"/>
          <w:numId w:val="33"/>
        </w:numPr>
      </w:pPr>
      <w:r w:rsidRPr="009E0C95">
        <w:t>Presented to school nurses</w:t>
      </w:r>
      <w:r w:rsidR="009E0C95" w:rsidRPr="009E0C95">
        <w:t xml:space="preserve"> education programs on: tick bite prevention</w:t>
      </w:r>
      <w:r w:rsidRPr="009E0C95">
        <w:t xml:space="preserve">, </w:t>
      </w:r>
      <w:r w:rsidR="009E0C95" w:rsidRPr="009E0C95">
        <w:t xml:space="preserve">asthma control and </w:t>
      </w:r>
      <w:r w:rsidR="009E0C95">
        <w:t>spinal cord injuries</w:t>
      </w:r>
    </w:p>
    <w:p w:rsidR="009E0C95" w:rsidRDefault="009E0C95" w:rsidP="009E0C95">
      <w:pPr>
        <w:pStyle w:val="ListParagraph"/>
        <w:numPr>
          <w:ilvl w:val="0"/>
          <w:numId w:val="33"/>
        </w:numPr>
      </w:pPr>
      <w:r>
        <w:t>We offer locations for our own staff to breastfeed their children</w:t>
      </w:r>
    </w:p>
    <w:p w:rsidR="009E0C95" w:rsidRPr="009E0C95" w:rsidRDefault="009E0C95" w:rsidP="009E0C95">
      <w:pPr>
        <w:pStyle w:val="ListParagraph"/>
        <w:numPr>
          <w:ilvl w:val="0"/>
          <w:numId w:val="33"/>
        </w:numPr>
      </w:pPr>
      <w:r>
        <w:t xml:space="preserve">We have thumb bands which we distribute to schools which encourage all driving aged children to avoid distracted driving. </w:t>
      </w:r>
    </w:p>
    <w:p w:rsidR="00D82FFE" w:rsidRDefault="00D82FFE" w:rsidP="002007AB">
      <w:pPr>
        <w:spacing w:line="240" w:lineRule="auto"/>
        <w:rPr>
          <w:b/>
          <w:sz w:val="28"/>
          <w:szCs w:val="28"/>
        </w:rPr>
      </w:pPr>
    </w:p>
    <w:p w:rsidR="009E0C95" w:rsidRDefault="009E0C95" w:rsidP="002007AB">
      <w:pPr>
        <w:spacing w:line="240" w:lineRule="auto"/>
        <w:rPr>
          <w:b/>
          <w:sz w:val="28"/>
          <w:szCs w:val="28"/>
        </w:rPr>
        <w:sectPr w:rsidR="009E0C95" w:rsidSect="007864B7">
          <w:type w:val="continuous"/>
          <w:pgSz w:w="12240" w:h="15840"/>
          <w:pgMar w:top="720" w:right="720" w:bottom="720" w:left="720" w:header="720" w:footer="720" w:gutter="0"/>
          <w:cols w:num="2" w:space="720" w:equalWidth="0">
            <w:col w:w="5040" w:space="720"/>
            <w:col w:w="5040"/>
          </w:cols>
          <w:docGrid w:linePitch="360"/>
        </w:sectPr>
      </w:pPr>
    </w:p>
    <w:p w:rsidR="00D82FFE" w:rsidRDefault="00D82FFE" w:rsidP="002007AB">
      <w:pPr>
        <w:spacing w:line="240" w:lineRule="auto"/>
        <w:rPr>
          <w:b/>
          <w:sz w:val="28"/>
          <w:szCs w:val="28"/>
        </w:rPr>
      </w:pPr>
    </w:p>
    <w:p w:rsidR="00D82FFE" w:rsidRPr="006F2BEF" w:rsidRDefault="00D82FFE" w:rsidP="002007AB">
      <w:pPr>
        <w:spacing w:line="240" w:lineRule="auto"/>
        <w:rPr>
          <w:b/>
          <w:sz w:val="28"/>
          <w:szCs w:val="28"/>
        </w:rPr>
      </w:pPr>
      <w:r w:rsidRPr="006F2BEF">
        <w:rPr>
          <w:b/>
          <w:sz w:val="28"/>
          <w:szCs w:val="28"/>
        </w:rPr>
        <w:t xml:space="preserve">Promote Mental Health </w:t>
      </w:r>
      <w:r w:rsidR="009E0C95">
        <w:rPr>
          <w:b/>
          <w:sz w:val="28"/>
          <w:szCs w:val="28"/>
        </w:rPr>
        <w:t xml:space="preserve">and Prevent Substance Abuse </w:t>
      </w:r>
    </w:p>
    <w:p w:rsidR="00D82FFE" w:rsidRPr="006F2BEF" w:rsidRDefault="00D82FFE" w:rsidP="002007AB">
      <w:r w:rsidRPr="006F2BEF">
        <w:rPr>
          <w:b/>
        </w:rPr>
        <w:t>Other community partners, or existing agencies and community based organizations addressing need</w:t>
      </w:r>
      <w:r w:rsidRPr="006F2BEF">
        <w:t>:  Fulton County Drug Court, Mental Health Association, Family Counseling Center, County Mental Health Services provided by St Mary’s Hospital, private mental health professionals, Prevention Council / ASAP’s Promise, Alzheimer’s Association</w:t>
      </w:r>
    </w:p>
    <w:p w:rsidR="00D82FFE" w:rsidRDefault="00D82FFE" w:rsidP="00F54F0D">
      <w:r w:rsidRPr="006F2BEF">
        <w:rPr>
          <w:b/>
        </w:rPr>
        <w:t>What NLH is doing to address</w:t>
      </w:r>
      <w:r>
        <w:rPr>
          <w:b/>
        </w:rPr>
        <w:t xml:space="preserve"> …</w:t>
      </w:r>
      <w:r w:rsidRPr="00BF74B7">
        <w:t xml:space="preserve"> </w:t>
      </w:r>
      <w:r w:rsidRPr="00000093">
        <w:t>the</w:t>
      </w:r>
      <w:r>
        <w:t xml:space="preserve"> accomplishments, </w:t>
      </w:r>
      <w:r w:rsidRPr="00000093">
        <w:t>initiatives</w:t>
      </w:r>
      <w:r>
        <w:t xml:space="preserve"> &amp; programs in place to help address this area are as follows:</w:t>
      </w:r>
      <w:r w:rsidRPr="006F2BEF">
        <w:t xml:space="preserve">  Aside from providing medical care to those in need, Nathan Littauer relies on our other community partners to deliver services in this arena.  </w:t>
      </w:r>
      <w:r w:rsidR="009E0C95">
        <w:t>Littauer r</w:t>
      </w:r>
      <w:r w:rsidRPr="006F2BEF">
        <w:t>efer</w:t>
      </w:r>
      <w:r w:rsidR="009E0C95">
        <w:t>s</w:t>
      </w:r>
      <w:r w:rsidRPr="006F2BEF">
        <w:t xml:space="preserve"> and arrange transport (if necessary)</w:t>
      </w:r>
      <w:r>
        <w:t xml:space="preserve"> for</w:t>
      </w:r>
      <w:r w:rsidRPr="006F2BEF">
        <w:t xml:space="preserve"> those needing care beyond our capabilities</w:t>
      </w:r>
      <w:r>
        <w:t>, a</w:t>
      </w:r>
      <w:r w:rsidRPr="006F2BEF">
        <w:t xml:space="preserve">lthough we do continue to address preventative strategies such as coping mechanisms as they relate to </w:t>
      </w:r>
      <w:r w:rsidRPr="009E0C95">
        <w:t xml:space="preserve">community health. </w:t>
      </w:r>
      <w:r w:rsidR="009E0C95" w:rsidRPr="009E0C95">
        <w:t xml:space="preserve">Nathan Littauer </w:t>
      </w:r>
      <w:r w:rsidRPr="009E0C95">
        <w:t>do</w:t>
      </w:r>
      <w:r w:rsidR="009E0C95" w:rsidRPr="009E0C95">
        <w:t>es</w:t>
      </w:r>
      <w:r w:rsidRPr="009E0C95">
        <w:t xml:space="preserve"> care for people</w:t>
      </w:r>
      <w:r w:rsidRPr="006F2BEF">
        <w:t xml:space="preserve"> who have mental health diagnosis in the primary care setting. If patient require a mental health specialty they are referred to appropriate community resources. Examples of community education programs &amp; activities which address this need include: education programs on stress management, </w:t>
      </w:r>
      <w:r>
        <w:t>guided</w:t>
      </w:r>
      <w:r w:rsidRPr="006F2BEF">
        <w:t xml:space="preserve"> hikes, hosting Alzheimer’s community education progr</w:t>
      </w:r>
      <w:r>
        <w:t>ams and a monthly support group, Images of a Woman, annual women’s wellness conference.</w:t>
      </w:r>
    </w:p>
    <w:p w:rsidR="00D82FFE" w:rsidRPr="00FD302B" w:rsidRDefault="00D82FFE" w:rsidP="002007AB">
      <w:pPr>
        <w:spacing w:line="240" w:lineRule="auto"/>
        <w:rPr>
          <w:b/>
          <w:sz w:val="28"/>
          <w:szCs w:val="28"/>
        </w:rPr>
      </w:pPr>
      <w:r w:rsidRPr="00FD302B">
        <w:rPr>
          <w:b/>
          <w:sz w:val="28"/>
          <w:szCs w:val="28"/>
        </w:rPr>
        <w:t xml:space="preserve">Prevent HIV, STD’s, Vaccine-Preventable Diseases and Healthcare-Associated </w:t>
      </w:r>
      <w:r w:rsidRPr="006F2BEF">
        <w:rPr>
          <w:b/>
          <w:sz w:val="28"/>
          <w:szCs w:val="28"/>
        </w:rPr>
        <w:t>Infections</w:t>
      </w:r>
      <w:r>
        <w:rPr>
          <w:b/>
          <w:sz w:val="28"/>
          <w:szCs w:val="28"/>
        </w:rPr>
        <w:t xml:space="preserve"> </w:t>
      </w:r>
    </w:p>
    <w:p w:rsidR="00D82FFE" w:rsidRDefault="00D82FFE" w:rsidP="002007AB">
      <w:pPr>
        <w:spacing w:line="240" w:lineRule="auto"/>
      </w:pPr>
      <w:r w:rsidRPr="00FD302B">
        <w:rPr>
          <w:b/>
        </w:rPr>
        <w:t xml:space="preserve">Other </w:t>
      </w:r>
      <w:r>
        <w:rPr>
          <w:b/>
        </w:rPr>
        <w:t xml:space="preserve">community partners, or </w:t>
      </w:r>
      <w:r w:rsidRPr="00FD302B">
        <w:rPr>
          <w:b/>
        </w:rPr>
        <w:t xml:space="preserve">existing agencies and </w:t>
      </w:r>
      <w:r>
        <w:rPr>
          <w:b/>
        </w:rPr>
        <w:t>community based organizations</w:t>
      </w:r>
      <w:r w:rsidRPr="00FD302B">
        <w:rPr>
          <w:b/>
        </w:rPr>
        <w:t xml:space="preserve"> addressing need</w:t>
      </w:r>
      <w:r w:rsidRPr="006D0E84">
        <w:t>:</w:t>
      </w:r>
      <w:r>
        <w:t xml:space="preserve"> Fulton County Public Health</w:t>
      </w:r>
      <w:r w:rsidRPr="009E0C95">
        <w:t>, FCPH contracts with SMH for the STD clinic and HIV testing is done at FCPH in addition to being offered to in</w:t>
      </w:r>
      <w:r w:rsidR="009E0C95" w:rsidRPr="009E0C95">
        <w:t>mates at the Fulton County Jail</w:t>
      </w:r>
      <w:r w:rsidRPr="009E0C95">
        <w:t xml:space="preserve"> NYS DOH, Red</w:t>
      </w:r>
      <w:r>
        <w:t xml:space="preserve"> Ribbon Partnership (HIV) thru Centro Civico</w:t>
      </w:r>
      <w:r w:rsidR="009E0C95">
        <w:t xml:space="preserve">. </w:t>
      </w:r>
    </w:p>
    <w:p w:rsidR="00D82FFE" w:rsidRDefault="00D82FFE" w:rsidP="006F2BEF">
      <w:r w:rsidRPr="002007AB">
        <w:rPr>
          <w:b/>
        </w:rPr>
        <w:t>What NLH is doing to addres</w:t>
      </w:r>
      <w:r>
        <w:rPr>
          <w:b/>
        </w:rPr>
        <w:t>s,</w:t>
      </w:r>
      <w:r w:rsidRPr="00BF74B7">
        <w:t xml:space="preserve"> </w:t>
      </w:r>
      <w:r w:rsidRPr="00000093">
        <w:t>the</w:t>
      </w:r>
      <w:r>
        <w:t xml:space="preserve"> accomplishments, </w:t>
      </w:r>
      <w:r w:rsidRPr="00000093">
        <w:t>initiatives</w:t>
      </w:r>
      <w:r>
        <w:t xml:space="preserve"> &amp; programs in place to help address this area are as follows:  </w:t>
      </w:r>
    </w:p>
    <w:p w:rsidR="009E0C95" w:rsidRDefault="009E0C95" w:rsidP="006F2BEF">
      <w:pPr>
        <w:rPr>
          <w:b/>
        </w:rPr>
        <w:sectPr w:rsidR="009E0C95" w:rsidSect="007F347D">
          <w:type w:val="continuous"/>
          <w:pgSz w:w="12240" w:h="15840"/>
          <w:pgMar w:top="720" w:right="720" w:bottom="720" w:left="720" w:header="720" w:footer="720" w:gutter="0"/>
          <w:cols w:space="720"/>
          <w:docGrid w:linePitch="360"/>
        </w:sectPr>
      </w:pPr>
    </w:p>
    <w:p w:rsidR="00D82FFE" w:rsidRPr="009E0C95" w:rsidRDefault="00D82FFE" w:rsidP="001B5604">
      <w:pPr>
        <w:pStyle w:val="ListParagraph"/>
        <w:numPr>
          <w:ilvl w:val="0"/>
          <w:numId w:val="34"/>
        </w:numPr>
      </w:pPr>
      <w:r w:rsidRPr="009E0C95">
        <w:t xml:space="preserve">As part of our </w:t>
      </w:r>
      <w:r w:rsidR="009E0C95" w:rsidRPr="009E0C95">
        <w:t xml:space="preserve">primary care practice we </w:t>
      </w:r>
      <w:proofErr w:type="spellStart"/>
      <w:r w:rsidRPr="009E0C95">
        <w:t>counsel</w:t>
      </w:r>
      <w:proofErr w:type="spellEnd"/>
      <w:r w:rsidRPr="009E0C95">
        <w:t xml:space="preserve"> on HIV</w:t>
      </w:r>
      <w:r w:rsidR="001B5604" w:rsidRPr="009E0C95">
        <w:t>, and</w:t>
      </w:r>
      <w:r w:rsidR="009E0C95" w:rsidRPr="009E0C95">
        <w:t xml:space="preserve"> s</w:t>
      </w:r>
      <w:r w:rsidR="005F6095">
        <w:t>exually</w:t>
      </w:r>
      <w:r w:rsidR="009E0C95" w:rsidRPr="009E0C95">
        <w:t xml:space="preserve"> transmitted diseases. We rep</w:t>
      </w:r>
      <w:r w:rsidR="009E0C95">
        <w:t>ort to the NYS DOH as indicated</w:t>
      </w:r>
      <w:r w:rsidR="009E0C95" w:rsidRPr="009E0C95">
        <w:t xml:space="preserve"> </w:t>
      </w:r>
    </w:p>
    <w:p w:rsidR="00D82FFE" w:rsidRDefault="00D82FFE" w:rsidP="001B5604">
      <w:pPr>
        <w:pStyle w:val="ListParagraph"/>
        <w:numPr>
          <w:ilvl w:val="0"/>
          <w:numId w:val="34"/>
        </w:numPr>
      </w:pPr>
      <w:r w:rsidRPr="009E0C95">
        <w:t>We counsel and provide Vaccines. We participate in VCF.  We participate in NYSIIS</w:t>
      </w:r>
    </w:p>
    <w:p w:rsidR="009E0C95" w:rsidRPr="009E0C95" w:rsidRDefault="009E0C95" w:rsidP="001B5604">
      <w:pPr>
        <w:pStyle w:val="ListParagraph"/>
        <w:numPr>
          <w:ilvl w:val="0"/>
          <w:numId w:val="34"/>
        </w:numPr>
      </w:pPr>
      <w:r>
        <w:t xml:space="preserve">Starting in 2014 we will offer all fathers in our Birthing Center </w:t>
      </w:r>
      <w:proofErr w:type="spellStart"/>
      <w:r>
        <w:t>Pertussis</w:t>
      </w:r>
      <w:proofErr w:type="spellEnd"/>
      <w:r>
        <w:t xml:space="preserve"> Vaccines.  We also encourage and counsel on the importance of </w:t>
      </w:r>
      <w:proofErr w:type="spellStart"/>
      <w:r>
        <w:t>pertussis</w:t>
      </w:r>
      <w:proofErr w:type="spellEnd"/>
      <w:r>
        <w:t xml:space="preserve"> vaccine in our primary care setting to appropriate candidates</w:t>
      </w:r>
    </w:p>
    <w:p w:rsidR="009E0C95" w:rsidRPr="009E0C95" w:rsidRDefault="009E0C95" w:rsidP="001B5604">
      <w:pPr>
        <w:pStyle w:val="ListParagraph"/>
        <w:numPr>
          <w:ilvl w:val="0"/>
          <w:numId w:val="34"/>
        </w:numPr>
      </w:pPr>
      <w:r w:rsidRPr="009E0C95">
        <w:t xml:space="preserve">We offer </w:t>
      </w:r>
      <w:r w:rsidR="00D82FFE" w:rsidRPr="009E0C95">
        <w:t>Flu shots</w:t>
      </w:r>
      <w:r>
        <w:t xml:space="preserve"> to staff and patients</w:t>
      </w:r>
      <w:r w:rsidRPr="009E0C95">
        <w:t xml:space="preserve"> </w:t>
      </w:r>
    </w:p>
    <w:p w:rsidR="009E0C95" w:rsidRPr="009E0C95" w:rsidRDefault="009E0C95" w:rsidP="001B5604">
      <w:pPr>
        <w:pStyle w:val="ListParagraph"/>
        <w:numPr>
          <w:ilvl w:val="0"/>
          <w:numId w:val="34"/>
        </w:numPr>
      </w:pPr>
      <w:r w:rsidRPr="009E0C95">
        <w:t xml:space="preserve">We have strict </w:t>
      </w:r>
      <w:r w:rsidR="00D82FFE" w:rsidRPr="009E0C95">
        <w:t xml:space="preserve">policies &amp; procedures on device use, </w:t>
      </w:r>
      <w:r w:rsidRPr="009E0C95">
        <w:t xml:space="preserve"> and </w:t>
      </w:r>
      <w:r w:rsidR="00D82FFE" w:rsidRPr="009E0C95">
        <w:t>pre/post op antib</w:t>
      </w:r>
      <w:r>
        <w:t>iotic administration</w:t>
      </w:r>
    </w:p>
    <w:p w:rsidR="009E0C95" w:rsidRPr="009E0C95" w:rsidRDefault="009E0C95" w:rsidP="001B5604">
      <w:pPr>
        <w:pStyle w:val="ListParagraph"/>
        <w:numPr>
          <w:ilvl w:val="0"/>
          <w:numId w:val="34"/>
        </w:numPr>
      </w:pPr>
      <w:r w:rsidRPr="009E0C95">
        <w:t>We monitor surgeons hand washing through closed circuit TV</w:t>
      </w:r>
      <w:r>
        <w:t>s</w:t>
      </w:r>
    </w:p>
    <w:p w:rsidR="00D82FFE" w:rsidRPr="009E0C95" w:rsidRDefault="009E0C95" w:rsidP="001B5604">
      <w:pPr>
        <w:pStyle w:val="ListParagraph"/>
        <w:numPr>
          <w:ilvl w:val="0"/>
          <w:numId w:val="34"/>
        </w:numPr>
      </w:pPr>
      <w:r w:rsidRPr="009E0C95">
        <w:t>We post signage through the organization encouraging clean hands. We produced a vide encouraging patients to ask their provider to wash their hands before examination which plays in</w:t>
      </w:r>
      <w:r>
        <w:t xml:space="preserve"> every patient room</w:t>
      </w:r>
    </w:p>
    <w:p w:rsidR="009E0C95" w:rsidRDefault="009E0C95" w:rsidP="002007AB">
      <w:pPr>
        <w:rPr>
          <w:b/>
        </w:rPr>
        <w:sectPr w:rsidR="009E0C95" w:rsidSect="009E0C95">
          <w:type w:val="continuous"/>
          <w:pgSz w:w="12240" w:h="15840"/>
          <w:pgMar w:top="720" w:right="720" w:bottom="720" w:left="720" w:header="720" w:footer="720" w:gutter="0"/>
          <w:cols w:num="2" w:space="720"/>
          <w:docGrid w:linePitch="360"/>
        </w:sectPr>
      </w:pPr>
    </w:p>
    <w:p w:rsidR="009E0C95" w:rsidRPr="009E0C95" w:rsidRDefault="009E0C95" w:rsidP="002007AB">
      <w:pPr>
        <w:rPr>
          <w:b/>
          <w:sz w:val="28"/>
          <w:szCs w:val="28"/>
        </w:rPr>
      </w:pPr>
    </w:p>
    <w:p w:rsidR="00D82FFE" w:rsidRPr="009E0C95" w:rsidRDefault="009E0C95" w:rsidP="002007AB">
      <w:pPr>
        <w:rPr>
          <w:b/>
          <w:sz w:val="28"/>
          <w:szCs w:val="28"/>
        </w:rPr>
      </w:pPr>
      <w:r>
        <w:rPr>
          <w:b/>
          <w:sz w:val="28"/>
          <w:szCs w:val="28"/>
        </w:rPr>
        <w:t>Needs not addressed</w:t>
      </w:r>
    </w:p>
    <w:p w:rsidR="009E0C95" w:rsidRPr="000979C8" w:rsidRDefault="009E0C95" w:rsidP="000979C8">
      <w:pPr>
        <w:jc w:val="both"/>
        <w:rPr>
          <w:rFonts w:ascii="Arial" w:hAnsi="Arial" w:cs="Arial"/>
        </w:rPr>
      </w:pPr>
      <w:r w:rsidRPr="000979C8">
        <w:rPr>
          <w:rFonts w:ascii="Arial" w:hAnsi="Arial" w:cs="Arial"/>
        </w:rPr>
        <w:t xml:space="preserve">Nathan Littauer intends to address needs within the five Prevention Agenda Focus areas identified as significant needs in Fulton County; however, some of the challenges identified for those areas will not be addressed by hospital-lead initiatives. </w:t>
      </w:r>
    </w:p>
    <w:p w:rsidR="00D82FFE" w:rsidRPr="000979C8" w:rsidRDefault="009E0C95" w:rsidP="000979C8">
      <w:pPr>
        <w:jc w:val="both"/>
        <w:rPr>
          <w:rFonts w:ascii="Arial" w:hAnsi="Arial" w:cs="Arial"/>
        </w:rPr>
      </w:pPr>
      <w:r w:rsidRPr="000979C8">
        <w:rPr>
          <w:rFonts w:ascii="Arial" w:hAnsi="Arial" w:cs="Arial"/>
        </w:rPr>
        <w:t xml:space="preserve">The Fulton County CHNA notes that while it appears our region does struggle with mental health issues with over 50% of the 20 mental health data indicators noting a “worse” benchmark score, Nathan Littauer does not have the clinical infrastructure to address mental health issues at the hospital level for on-going treatment. We do refer to providers and hospitals in the area. Additionally, our clinicians are well trained to meet the needs of a person with a mental health issue in an emergency medical situation. We have cooperative relationships with the Family Counseling Center, even offering them office space in exchange for quick mental health </w:t>
      </w:r>
      <w:r w:rsidR="001B5604" w:rsidRPr="000979C8">
        <w:rPr>
          <w:rFonts w:ascii="Arial" w:hAnsi="Arial" w:cs="Arial"/>
        </w:rPr>
        <w:t>referrals for</w:t>
      </w:r>
      <w:r w:rsidRPr="000979C8">
        <w:rPr>
          <w:rFonts w:ascii="Arial" w:hAnsi="Arial" w:cs="Arial"/>
        </w:rPr>
        <w:t xml:space="preserve"> our patients in crisis. We refer to a neighboring hospital which has mental health treatment facilitates available.  On the Primary Care level, we are able to provide situational mental health assistance; providing medication as indicated and referral to appropriate local and regional resources.  </w:t>
      </w:r>
    </w:p>
    <w:p w:rsidR="00D82FFE" w:rsidRPr="000979C8" w:rsidRDefault="009E0C95" w:rsidP="000979C8">
      <w:pPr>
        <w:jc w:val="both"/>
        <w:rPr>
          <w:rFonts w:ascii="Arial" w:hAnsi="Arial" w:cs="Arial"/>
        </w:rPr>
      </w:pPr>
      <w:r w:rsidRPr="000979C8">
        <w:rPr>
          <w:rFonts w:ascii="Arial" w:hAnsi="Arial" w:cs="Arial"/>
        </w:rPr>
        <w:t xml:space="preserve">Also, upon review of health indicators, we will not be addressing Environmental Safety with hospital- wide initiatives.  The data and focus groups we conducted and reviewed illustrates that Environmental Safety is </w:t>
      </w:r>
      <w:r w:rsidR="00D82FFE" w:rsidRPr="000979C8">
        <w:rPr>
          <w:rFonts w:ascii="Arial" w:hAnsi="Arial" w:cs="Arial"/>
        </w:rPr>
        <w:t>not identified as a priority</w:t>
      </w:r>
      <w:r w:rsidRPr="000979C8">
        <w:rPr>
          <w:rFonts w:ascii="Arial" w:hAnsi="Arial" w:cs="Arial"/>
        </w:rPr>
        <w:t xml:space="preserve">. Data would support that; the number of days in Fulton County with </w:t>
      </w:r>
      <w:r w:rsidR="001B5604" w:rsidRPr="000979C8">
        <w:rPr>
          <w:rFonts w:ascii="Arial" w:hAnsi="Arial" w:cs="Arial"/>
        </w:rPr>
        <w:t>unhealthy</w:t>
      </w:r>
      <w:r w:rsidRPr="000979C8">
        <w:rPr>
          <w:rFonts w:ascii="Arial" w:hAnsi="Arial" w:cs="Arial"/>
        </w:rPr>
        <w:t xml:space="preserve"> ozone was at 0%; the percentage of homes in vulnerable neighborhoods that have fewer asthma triggers is less than 10 occurrences. We have concluded that addressing these environmental issues falls outside of our mission. While we continue to address the clinical effects of environmental issues, we cannot address its prevention. </w:t>
      </w:r>
    </w:p>
    <w:p w:rsidR="009E0C95" w:rsidRPr="000979C8" w:rsidRDefault="009E0C95" w:rsidP="000979C8">
      <w:pPr>
        <w:jc w:val="both"/>
        <w:rPr>
          <w:rFonts w:ascii="Arial" w:hAnsi="Arial" w:cs="Arial"/>
        </w:rPr>
      </w:pPr>
      <w:r w:rsidRPr="000979C8">
        <w:rPr>
          <w:rFonts w:ascii="Arial" w:hAnsi="Arial" w:cs="Arial"/>
        </w:rPr>
        <w:t xml:space="preserve">We will also not conduct a hospital-wide initiative addressing HIV and AIDS.  Fulton County reported only a 6% average rate for newly diagnosed HIV cases in the past two years. The 2017 Prevention Agenda benchmark is less than 14.7 %. Additionally, our population has an incidence of HIV and AIDS of less than 2.2 cases per 100,000 </w:t>
      </w:r>
      <w:proofErr w:type="gramStart"/>
      <w:r w:rsidRPr="000979C8">
        <w:rPr>
          <w:rFonts w:ascii="Arial" w:hAnsi="Arial" w:cs="Arial"/>
        </w:rPr>
        <w:t>population</w:t>
      </w:r>
      <w:proofErr w:type="gramEnd"/>
      <w:r w:rsidRPr="000979C8">
        <w:rPr>
          <w:rFonts w:ascii="Arial" w:hAnsi="Arial" w:cs="Arial"/>
        </w:rPr>
        <w:t xml:space="preserve"> which is well below the New York State incidents of 17.6 per 100,000 people. Knowing the pressing health concerns for this reason, we feel that our resources will be better spent addressing other issues.  </w:t>
      </w:r>
    </w:p>
    <w:p w:rsidR="009E0C95" w:rsidRPr="000979C8" w:rsidRDefault="009E0C95" w:rsidP="000979C8">
      <w:pPr>
        <w:jc w:val="both"/>
        <w:rPr>
          <w:rFonts w:ascii="Arial" w:hAnsi="Arial" w:cs="Arial"/>
        </w:rPr>
      </w:pPr>
      <w:r w:rsidRPr="000979C8">
        <w:rPr>
          <w:rFonts w:ascii="Arial" w:hAnsi="Arial" w:cs="Arial"/>
        </w:rPr>
        <w:t xml:space="preserve">As an organization we do remain committed to supporting other organizations who address the above issues as Nathan Littauer is committed to improving the health and wellness of our communities. Therefore we fully support local governments and wellness collations in the efforts to resolve these issues. </w:t>
      </w:r>
    </w:p>
    <w:p w:rsidR="009E0C95" w:rsidRPr="000979C8" w:rsidRDefault="009E0C95" w:rsidP="000979C8">
      <w:pPr>
        <w:jc w:val="both"/>
        <w:rPr>
          <w:rFonts w:ascii="Arial" w:hAnsi="Arial" w:cs="Arial"/>
          <w:b/>
        </w:rPr>
      </w:pPr>
    </w:p>
    <w:p w:rsidR="009E0C95" w:rsidRPr="000979C8" w:rsidRDefault="009E0C95" w:rsidP="000979C8">
      <w:pPr>
        <w:jc w:val="both"/>
        <w:rPr>
          <w:rFonts w:ascii="Arial" w:hAnsi="Arial" w:cs="Arial"/>
          <w:b/>
        </w:rPr>
      </w:pPr>
      <w:r w:rsidRPr="000979C8">
        <w:rPr>
          <w:rFonts w:ascii="Arial" w:hAnsi="Arial" w:cs="Arial"/>
          <w:b/>
        </w:rPr>
        <w:t>APPROVAL</w:t>
      </w:r>
    </w:p>
    <w:p w:rsidR="009E0C95" w:rsidRPr="000979C8" w:rsidRDefault="009E0C95" w:rsidP="000979C8">
      <w:pPr>
        <w:jc w:val="both"/>
        <w:rPr>
          <w:rFonts w:ascii="Arial" w:hAnsi="Arial" w:cs="Arial"/>
        </w:rPr>
      </w:pPr>
      <w:r w:rsidRPr="000979C8">
        <w:rPr>
          <w:rFonts w:ascii="Arial" w:hAnsi="Arial" w:cs="Arial"/>
        </w:rPr>
        <w:t xml:space="preserve">The report was prepared for the December 17, 2013 meeting of the Nathan Littauer Hospital Board of Directors. The Board will be asked to approve the Implementation Plan for the Needs Identified in the 2013 Community Health Needs Assessment for Nathan Littauer Hospital. </w:t>
      </w:r>
    </w:p>
    <w:p w:rsidR="009E0C95" w:rsidRPr="000979C8" w:rsidRDefault="009E0C95" w:rsidP="000979C8">
      <w:pPr>
        <w:jc w:val="both"/>
        <w:rPr>
          <w:rFonts w:ascii="Arial" w:hAnsi="Arial" w:cs="Arial"/>
        </w:rPr>
      </w:pPr>
    </w:p>
    <w:p w:rsidR="009E0C95" w:rsidRDefault="009E0C95" w:rsidP="002007AB">
      <w:r>
        <w:t xml:space="preserve">    </w:t>
      </w:r>
    </w:p>
    <w:p w:rsidR="00D82FFE" w:rsidRPr="00F53F5A" w:rsidRDefault="00D82FFE" w:rsidP="00F53F5A">
      <w:pPr>
        <w:spacing w:line="240" w:lineRule="auto"/>
        <w:rPr>
          <w:b/>
          <w:bCs/>
        </w:rPr>
      </w:pPr>
      <w:r>
        <w:rPr>
          <w:b/>
          <w:bCs/>
        </w:rPr>
        <w:tab/>
        <w:t xml:space="preserve"> </w:t>
      </w:r>
    </w:p>
    <w:p w:rsidR="00D82FFE" w:rsidRPr="007864B7" w:rsidRDefault="00D82FFE" w:rsidP="00087CF5">
      <w:pPr>
        <w:rPr>
          <w:b/>
          <w:bCs/>
          <w:sz w:val="28"/>
          <w:szCs w:val="28"/>
        </w:rPr>
      </w:pPr>
    </w:p>
    <w:sectPr w:rsidR="00D82FFE" w:rsidRPr="007864B7" w:rsidSect="007F347D">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42" w:rsidRDefault="00E93142" w:rsidP="002007AB">
      <w:pPr>
        <w:spacing w:after="0" w:line="240" w:lineRule="auto"/>
      </w:pPr>
      <w:r>
        <w:separator/>
      </w:r>
    </w:p>
  </w:endnote>
  <w:endnote w:type="continuationSeparator" w:id="0">
    <w:p w:rsidR="00E93142" w:rsidRDefault="00E93142" w:rsidP="00200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E" w:rsidRDefault="001211F5">
    <w:pPr>
      <w:pStyle w:val="Footer"/>
      <w:pBdr>
        <w:top w:val="single" w:sz="4" w:space="1" w:color="D9D9D9"/>
      </w:pBdr>
      <w:rPr>
        <w:b/>
      </w:rPr>
    </w:pPr>
    <w:fldSimple w:instr=" PAGE   \* MERGEFORMAT ">
      <w:r w:rsidR="00F27232" w:rsidRPr="00F27232">
        <w:rPr>
          <w:b/>
          <w:noProof/>
        </w:rPr>
        <w:t>1</w:t>
      </w:r>
    </w:fldSimple>
    <w:r w:rsidR="00D82FFE">
      <w:rPr>
        <w:b/>
      </w:rPr>
      <w:t xml:space="preserve"> | </w:t>
    </w:r>
    <w:r w:rsidR="00D82FFE">
      <w:rPr>
        <w:color w:val="7F7F7F"/>
        <w:spacing w:val="60"/>
      </w:rPr>
      <w:t>Page</w:t>
    </w:r>
  </w:p>
  <w:p w:rsidR="00D82FFE" w:rsidRDefault="00D82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42" w:rsidRDefault="00E93142" w:rsidP="002007AB">
      <w:pPr>
        <w:spacing w:after="0" w:line="240" w:lineRule="auto"/>
      </w:pPr>
      <w:r>
        <w:separator/>
      </w:r>
    </w:p>
  </w:footnote>
  <w:footnote w:type="continuationSeparator" w:id="0">
    <w:p w:rsidR="00E93142" w:rsidRDefault="00E93142" w:rsidP="00200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0A0"/>
    </w:tblPr>
    <w:tblGrid>
      <w:gridCol w:w="9026"/>
      <w:gridCol w:w="1284"/>
    </w:tblGrid>
    <w:tr w:rsidR="00D82FFE">
      <w:trPr>
        <w:trHeight w:val="288"/>
      </w:trPr>
      <w:tc>
        <w:tcPr>
          <w:tcW w:w="7765" w:type="dxa"/>
          <w:tcBorders>
            <w:bottom w:val="single" w:sz="18" w:space="0" w:color="808080"/>
          </w:tcBorders>
        </w:tcPr>
        <w:p w:rsidR="00D82FFE" w:rsidRDefault="00D82FFE" w:rsidP="002007AB">
          <w:pPr>
            <w:pStyle w:val="Header"/>
            <w:jc w:val="right"/>
            <w:rPr>
              <w:rFonts w:ascii="Cambria" w:hAnsi="Cambria"/>
              <w:sz w:val="36"/>
              <w:szCs w:val="36"/>
            </w:rPr>
          </w:pPr>
          <w:r>
            <w:rPr>
              <w:rFonts w:ascii="Cambria" w:hAnsi="Cambria"/>
              <w:sz w:val="36"/>
              <w:szCs w:val="36"/>
            </w:rPr>
            <w:t xml:space="preserve">Implementation Plan for Needs Identified in the  </w:t>
          </w:r>
          <w:smartTag w:uri="urn:schemas-microsoft-com:office:smarttags" w:element="place">
            <w:smartTag w:uri="urn:schemas-microsoft-com:office:smarttags" w:element="PlaceName">
              <w:r>
                <w:rPr>
                  <w:rFonts w:ascii="Cambria" w:hAnsi="Cambria"/>
                  <w:sz w:val="36"/>
                  <w:szCs w:val="36"/>
                </w:rPr>
                <w:t>Community</w:t>
              </w:r>
            </w:smartTag>
            <w:r>
              <w:rPr>
                <w:rFonts w:ascii="Cambria" w:hAnsi="Cambria"/>
                <w:sz w:val="36"/>
                <w:szCs w:val="36"/>
              </w:rPr>
              <w:t xml:space="preserve"> </w:t>
            </w:r>
            <w:smartTag w:uri="urn:schemas-microsoft-com:office:smarttags" w:element="PlaceName">
              <w:r>
                <w:rPr>
                  <w:rFonts w:ascii="Cambria" w:hAnsi="Cambria"/>
                  <w:sz w:val="36"/>
                  <w:szCs w:val="36"/>
                </w:rPr>
                <w:t>Health</w:t>
              </w:r>
            </w:smartTag>
            <w:r>
              <w:rPr>
                <w:rFonts w:ascii="Cambria" w:hAnsi="Cambria"/>
                <w:sz w:val="36"/>
                <w:szCs w:val="36"/>
              </w:rPr>
              <w:t xml:space="preserve"> </w:t>
            </w:r>
            <w:smartTag w:uri="urn:schemas-microsoft-com:office:smarttags" w:element="PlaceName">
              <w:r>
                <w:rPr>
                  <w:rFonts w:ascii="Cambria" w:hAnsi="Cambria"/>
                  <w:sz w:val="36"/>
                  <w:szCs w:val="36"/>
                </w:rPr>
                <w:t>Needs</w:t>
              </w:r>
            </w:smartTag>
            <w:r>
              <w:rPr>
                <w:rFonts w:ascii="Cambria" w:hAnsi="Cambria"/>
                <w:sz w:val="36"/>
                <w:szCs w:val="36"/>
              </w:rPr>
              <w:t xml:space="preserve"> </w:t>
            </w:r>
            <w:smartTag w:uri="urn:schemas-microsoft-com:office:smarttags" w:element="PlaceName">
              <w:r>
                <w:rPr>
                  <w:rFonts w:ascii="Cambria" w:hAnsi="Cambria"/>
                  <w:sz w:val="36"/>
                  <w:szCs w:val="36"/>
                </w:rPr>
                <w:t>Assessment</w:t>
              </w:r>
            </w:smartTag>
            <w:r>
              <w:rPr>
                <w:rFonts w:ascii="Cambria" w:hAnsi="Cambria"/>
                <w:sz w:val="36"/>
                <w:szCs w:val="36"/>
              </w:rPr>
              <w:t xml:space="preserve"> </w:t>
            </w:r>
            <w:smartTag w:uri="urn:schemas-microsoft-com:office:smarttags" w:element="PlaceName">
              <w:r>
                <w:rPr>
                  <w:rFonts w:ascii="Cambria" w:hAnsi="Cambria"/>
                  <w:sz w:val="36"/>
                  <w:szCs w:val="36"/>
                </w:rPr>
                <w:t>Nathan</w:t>
              </w:r>
            </w:smartTag>
            <w:r>
              <w:rPr>
                <w:rFonts w:ascii="Cambria" w:hAnsi="Cambria"/>
                <w:sz w:val="36"/>
                <w:szCs w:val="36"/>
              </w:rPr>
              <w:t xml:space="preserve"> </w:t>
            </w:r>
            <w:smartTag w:uri="urn:schemas-microsoft-com:office:smarttags" w:element="PlaceName">
              <w:r>
                <w:rPr>
                  <w:rFonts w:ascii="Cambria" w:hAnsi="Cambria"/>
                  <w:sz w:val="36"/>
                  <w:szCs w:val="36"/>
                </w:rPr>
                <w:t>Littauer</w:t>
              </w:r>
            </w:smartTag>
            <w:r>
              <w:rPr>
                <w:rFonts w:ascii="Cambria" w:hAnsi="Cambria"/>
                <w:sz w:val="36"/>
                <w:szCs w:val="36"/>
              </w:rPr>
              <w:t xml:space="preserve"> </w:t>
            </w:r>
            <w:smartTag w:uri="urn:schemas-microsoft-com:office:smarttags" w:element="PlaceType">
              <w:r>
                <w:rPr>
                  <w:rFonts w:ascii="Cambria" w:hAnsi="Cambria"/>
                  <w:sz w:val="36"/>
                  <w:szCs w:val="36"/>
                </w:rPr>
                <w:t>Hospital</w:t>
              </w:r>
            </w:smartTag>
          </w:smartTag>
          <w:r>
            <w:rPr>
              <w:rFonts w:ascii="Cambria" w:hAnsi="Cambria"/>
              <w:sz w:val="36"/>
              <w:szCs w:val="36"/>
            </w:rPr>
            <w:t xml:space="preserve"> &amp; Nursing Home</w:t>
          </w:r>
        </w:p>
      </w:tc>
      <w:tc>
        <w:tcPr>
          <w:tcW w:w="1105" w:type="dxa"/>
          <w:tcBorders>
            <w:bottom w:val="single" w:sz="18" w:space="0" w:color="808080"/>
          </w:tcBorders>
        </w:tcPr>
        <w:p w:rsidR="00D82FFE" w:rsidRDefault="00D82FFE" w:rsidP="002007AB">
          <w:pPr>
            <w:pStyle w:val="Header"/>
            <w:rPr>
              <w:rFonts w:ascii="Cambria" w:hAnsi="Cambria"/>
              <w:b/>
              <w:bCs/>
              <w:color w:val="4F81BD"/>
              <w:sz w:val="36"/>
              <w:szCs w:val="36"/>
            </w:rPr>
          </w:pPr>
          <w:r>
            <w:rPr>
              <w:rFonts w:ascii="Cambria" w:hAnsi="Cambria"/>
              <w:b/>
              <w:bCs/>
              <w:color w:val="4F81BD"/>
              <w:sz w:val="36"/>
              <w:szCs w:val="36"/>
            </w:rPr>
            <w:t>2013</w:t>
          </w:r>
        </w:p>
      </w:tc>
    </w:tr>
  </w:tbl>
  <w:p w:rsidR="00D82FFE" w:rsidRDefault="00D82F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C4611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560348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B327C8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A52422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B023E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D6E9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24FB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360C0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7C10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48C7D2"/>
    <w:lvl w:ilvl="0">
      <w:start w:val="1"/>
      <w:numFmt w:val="bullet"/>
      <w:lvlText w:val=""/>
      <w:lvlJc w:val="left"/>
      <w:pPr>
        <w:tabs>
          <w:tab w:val="num" w:pos="360"/>
        </w:tabs>
        <w:ind w:left="360" w:hanging="360"/>
      </w:pPr>
      <w:rPr>
        <w:rFonts w:ascii="Symbol" w:hAnsi="Symbol" w:hint="default"/>
      </w:rPr>
    </w:lvl>
  </w:abstractNum>
  <w:abstractNum w:abstractNumId="10">
    <w:nsid w:val="02A700DF"/>
    <w:multiLevelType w:val="hybridMultilevel"/>
    <w:tmpl w:val="5908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6A4437"/>
    <w:multiLevelType w:val="hybridMultilevel"/>
    <w:tmpl w:val="EA487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0B3749"/>
    <w:multiLevelType w:val="hybridMultilevel"/>
    <w:tmpl w:val="DDEC32BC"/>
    <w:lvl w:ilvl="0" w:tplc="9B302F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E4662A"/>
    <w:multiLevelType w:val="hybridMultilevel"/>
    <w:tmpl w:val="266EB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FF29FC"/>
    <w:multiLevelType w:val="hybridMultilevel"/>
    <w:tmpl w:val="619C01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28260065"/>
    <w:multiLevelType w:val="hybridMultilevel"/>
    <w:tmpl w:val="9B5E0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E66A8"/>
    <w:multiLevelType w:val="hybridMultilevel"/>
    <w:tmpl w:val="143A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D05B07"/>
    <w:multiLevelType w:val="hybridMultilevel"/>
    <w:tmpl w:val="EE64FE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C17D32"/>
    <w:multiLevelType w:val="hybridMultilevel"/>
    <w:tmpl w:val="53684E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3A75B51"/>
    <w:multiLevelType w:val="hybridMultilevel"/>
    <w:tmpl w:val="DEC0F9B6"/>
    <w:lvl w:ilvl="0" w:tplc="0ECE4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06E1"/>
    <w:multiLevelType w:val="hybridMultilevel"/>
    <w:tmpl w:val="A24E0EFC"/>
    <w:lvl w:ilvl="0" w:tplc="0ECE491A">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42BA2494"/>
    <w:multiLevelType w:val="hybridMultilevel"/>
    <w:tmpl w:val="CFBE6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FE73FB"/>
    <w:multiLevelType w:val="hybridMultilevel"/>
    <w:tmpl w:val="146EF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424C8C"/>
    <w:multiLevelType w:val="hybridMultilevel"/>
    <w:tmpl w:val="886E6ED8"/>
    <w:lvl w:ilvl="0" w:tplc="7B643F6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FC341AC"/>
    <w:multiLevelType w:val="hybridMultilevel"/>
    <w:tmpl w:val="7FEC2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B57221"/>
    <w:multiLevelType w:val="hybridMultilevel"/>
    <w:tmpl w:val="36327C5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6">
    <w:nsid w:val="5FD25711"/>
    <w:multiLevelType w:val="hybridMultilevel"/>
    <w:tmpl w:val="75FE23DE"/>
    <w:lvl w:ilvl="0" w:tplc="14DA46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624455E"/>
    <w:multiLevelType w:val="hybridMultilevel"/>
    <w:tmpl w:val="D908AA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8FA15A4"/>
    <w:multiLevelType w:val="hybridMultilevel"/>
    <w:tmpl w:val="44E2E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B57921"/>
    <w:multiLevelType w:val="hybridMultilevel"/>
    <w:tmpl w:val="65722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B87DDF"/>
    <w:multiLevelType w:val="hybridMultilevel"/>
    <w:tmpl w:val="685AA87C"/>
    <w:lvl w:ilvl="0" w:tplc="0ECE49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025C6B"/>
    <w:multiLevelType w:val="hybridMultilevel"/>
    <w:tmpl w:val="9368A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14401D"/>
    <w:multiLevelType w:val="hybridMultilevel"/>
    <w:tmpl w:val="A45A7C8A"/>
    <w:lvl w:ilvl="0" w:tplc="0ECE49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A1C4C"/>
    <w:multiLevelType w:val="hybridMultilevel"/>
    <w:tmpl w:val="7CB0F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0"/>
  </w:num>
  <w:num w:numId="3">
    <w:abstractNumId w:val="20"/>
  </w:num>
  <w:num w:numId="4">
    <w:abstractNumId w:val="19"/>
  </w:num>
  <w:num w:numId="5">
    <w:abstractNumId w:val="26"/>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4"/>
  </w:num>
  <w:num w:numId="19">
    <w:abstractNumId w:val="29"/>
  </w:num>
  <w:num w:numId="20">
    <w:abstractNumId w:val="25"/>
  </w:num>
  <w:num w:numId="21">
    <w:abstractNumId w:val="11"/>
  </w:num>
  <w:num w:numId="22">
    <w:abstractNumId w:val="17"/>
  </w:num>
  <w:num w:numId="23">
    <w:abstractNumId w:val="21"/>
  </w:num>
  <w:num w:numId="24">
    <w:abstractNumId w:val="28"/>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7"/>
  </w:num>
  <w:num w:numId="29">
    <w:abstractNumId w:val="33"/>
  </w:num>
  <w:num w:numId="30">
    <w:abstractNumId w:val="18"/>
  </w:num>
  <w:num w:numId="31">
    <w:abstractNumId w:val="10"/>
  </w:num>
  <w:num w:numId="32">
    <w:abstractNumId w:val="22"/>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rsids>
    <w:rsidRoot w:val="00473324"/>
    <w:rsid w:val="00000093"/>
    <w:rsid w:val="00006CF1"/>
    <w:rsid w:val="00016E45"/>
    <w:rsid w:val="000208E3"/>
    <w:rsid w:val="00023FFE"/>
    <w:rsid w:val="00047385"/>
    <w:rsid w:val="00082B49"/>
    <w:rsid w:val="00087CF5"/>
    <w:rsid w:val="00090A6F"/>
    <w:rsid w:val="000979C8"/>
    <w:rsid w:val="000F3375"/>
    <w:rsid w:val="00101BBF"/>
    <w:rsid w:val="001211F5"/>
    <w:rsid w:val="001443EE"/>
    <w:rsid w:val="00156F19"/>
    <w:rsid w:val="001B5604"/>
    <w:rsid w:val="001F03B0"/>
    <w:rsid w:val="001F7738"/>
    <w:rsid w:val="002007AB"/>
    <w:rsid w:val="002268A6"/>
    <w:rsid w:val="00235750"/>
    <w:rsid w:val="00241989"/>
    <w:rsid w:val="0024410E"/>
    <w:rsid w:val="00261599"/>
    <w:rsid w:val="00263C44"/>
    <w:rsid w:val="00292E47"/>
    <w:rsid w:val="002A1D85"/>
    <w:rsid w:val="002A5B1D"/>
    <w:rsid w:val="002E2BE2"/>
    <w:rsid w:val="002F2DFD"/>
    <w:rsid w:val="00320469"/>
    <w:rsid w:val="0032543E"/>
    <w:rsid w:val="00361194"/>
    <w:rsid w:val="0038685D"/>
    <w:rsid w:val="003A5985"/>
    <w:rsid w:val="003D100D"/>
    <w:rsid w:val="003D61A1"/>
    <w:rsid w:val="003F4A09"/>
    <w:rsid w:val="00407F6B"/>
    <w:rsid w:val="00473324"/>
    <w:rsid w:val="0054133B"/>
    <w:rsid w:val="00564675"/>
    <w:rsid w:val="00585F99"/>
    <w:rsid w:val="005E208F"/>
    <w:rsid w:val="005F4E4C"/>
    <w:rsid w:val="005F6095"/>
    <w:rsid w:val="005F6382"/>
    <w:rsid w:val="00602790"/>
    <w:rsid w:val="00610B74"/>
    <w:rsid w:val="006425E6"/>
    <w:rsid w:val="006630E0"/>
    <w:rsid w:val="006C6F13"/>
    <w:rsid w:val="006D0E84"/>
    <w:rsid w:val="006F2BEF"/>
    <w:rsid w:val="006F6919"/>
    <w:rsid w:val="00747888"/>
    <w:rsid w:val="00771A80"/>
    <w:rsid w:val="007864B7"/>
    <w:rsid w:val="007A6CEC"/>
    <w:rsid w:val="007E6D20"/>
    <w:rsid w:val="007F347D"/>
    <w:rsid w:val="00844081"/>
    <w:rsid w:val="0085795E"/>
    <w:rsid w:val="008678D8"/>
    <w:rsid w:val="00874E9F"/>
    <w:rsid w:val="00877698"/>
    <w:rsid w:val="008D372E"/>
    <w:rsid w:val="00921C42"/>
    <w:rsid w:val="00935ED6"/>
    <w:rsid w:val="009531FE"/>
    <w:rsid w:val="009670C5"/>
    <w:rsid w:val="0097325E"/>
    <w:rsid w:val="00993A38"/>
    <w:rsid w:val="009E0C95"/>
    <w:rsid w:val="009E532F"/>
    <w:rsid w:val="009F0C00"/>
    <w:rsid w:val="00A10AC1"/>
    <w:rsid w:val="00A1260F"/>
    <w:rsid w:val="00A258CF"/>
    <w:rsid w:val="00A36268"/>
    <w:rsid w:val="00A373C4"/>
    <w:rsid w:val="00A57BE2"/>
    <w:rsid w:val="00A93ABC"/>
    <w:rsid w:val="00AB1250"/>
    <w:rsid w:val="00AF064F"/>
    <w:rsid w:val="00B32E68"/>
    <w:rsid w:val="00B474E6"/>
    <w:rsid w:val="00B82702"/>
    <w:rsid w:val="00B96C81"/>
    <w:rsid w:val="00BA2373"/>
    <w:rsid w:val="00BB7B18"/>
    <w:rsid w:val="00BF74B7"/>
    <w:rsid w:val="00C45CFD"/>
    <w:rsid w:val="00C70359"/>
    <w:rsid w:val="00C9085B"/>
    <w:rsid w:val="00C96A4E"/>
    <w:rsid w:val="00CB7839"/>
    <w:rsid w:val="00CB7E40"/>
    <w:rsid w:val="00CC70B8"/>
    <w:rsid w:val="00CC7A67"/>
    <w:rsid w:val="00D17EB7"/>
    <w:rsid w:val="00D81B49"/>
    <w:rsid w:val="00D82FFE"/>
    <w:rsid w:val="00D939D6"/>
    <w:rsid w:val="00DE69D1"/>
    <w:rsid w:val="00E331D3"/>
    <w:rsid w:val="00E437F7"/>
    <w:rsid w:val="00E5287B"/>
    <w:rsid w:val="00E63790"/>
    <w:rsid w:val="00E87E8F"/>
    <w:rsid w:val="00E93142"/>
    <w:rsid w:val="00EE0742"/>
    <w:rsid w:val="00EE67B4"/>
    <w:rsid w:val="00F27232"/>
    <w:rsid w:val="00F301AB"/>
    <w:rsid w:val="00F32ADE"/>
    <w:rsid w:val="00F53F5A"/>
    <w:rsid w:val="00F54F0D"/>
    <w:rsid w:val="00F60CB7"/>
    <w:rsid w:val="00F65437"/>
    <w:rsid w:val="00F95102"/>
    <w:rsid w:val="00FB72A8"/>
    <w:rsid w:val="00FD3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24"/>
    <w:pPr>
      <w:spacing w:after="200" w:line="276" w:lineRule="auto"/>
    </w:pPr>
  </w:style>
  <w:style w:type="paragraph" w:styleId="Heading1">
    <w:name w:val="heading 1"/>
    <w:basedOn w:val="Normal"/>
    <w:next w:val="Normal"/>
    <w:link w:val="Heading1Char"/>
    <w:uiPriority w:val="99"/>
    <w:qFormat/>
    <w:rsid w:val="0047332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3324"/>
    <w:rPr>
      <w:rFonts w:ascii="Cambria" w:hAnsi="Cambria" w:cs="Times New Roman"/>
      <w:b/>
      <w:bCs/>
      <w:color w:val="365F91"/>
      <w:sz w:val="28"/>
      <w:szCs w:val="28"/>
    </w:rPr>
  </w:style>
  <w:style w:type="paragraph" w:styleId="ListParagraph">
    <w:name w:val="List Paragraph"/>
    <w:basedOn w:val="Normal"/>
    <w:uiPriority w:val="99"/>
    <w:qFormat/>
    <w:rsid w:val="00473324"/>
    <w:pPr>
      <w:ind w:left="720"/>
      <w:contextualSpacing/>
    </w:pPr>
  </w:style>
  <w:style w:type="paragraph" w:styleId="BalloonText">
    <w:name w:val="Balloon Text"/>
    <w:basedOn w:val="Normal"/>
    <w:link w:val="BalloonTextChar"/>
    <w:uiPriority w:val="99"/>
    <w:semiHidden/>
    <w:rsid w:val="00EE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67B4"/>
    <w:rPr>
      <w:rFonts w:ascii="Tahoma" w:hAnsi="Tahoma" w:cs="Tahoma"/>
      <w:sz w:val="16"/>
      <w:szCs w:val="16"/>
    </w:rPr>
  </w:style>
  <w:style w:type="table" w:styleId="TableGrid">
    <w:name w:val="Table Grid"/>
    <w:basedOn w:val="TableNormal"/>
    <w:uiPriority w:val="99"/>
    <w:locked/>
    <w:rsid w:val="003D100D"/>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007AB"/>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uiPriority w:val="99"/>
    <w:locked/>
    <w:rsid w:val="002007AB"/>
    <w:rPr>
      <w:rFonts w:ascii="Arial" w:hAnsi="Arial" w:cs="Arial"/>
      <w:sz w:val="24"/>
      <w:szCs w:val="24"/>
    </w:rPr>
  </w:style>
  <w:style w:type="character" w:styleId="FootnoteReference">
    <w:name w:val="footnote reference"/>
    <w:basedOn w:val="DefaultParagraphFont"/>
    <w:uiPriority w:val="99"/>
    <w:semiHidden/>
    <w:rsid w:val="002007AB"/>
    <w:rPr>
      <w:rFonts w:cs="Times New Roman"/>
      <w:vertAlign w:val="superscript"/>
    </w:rPr>
  </w:style>
  <w:style w:type="paragraph" w:styleId="Header">
    <w:name w:val="header"/>
    <w:basedOn w:val="Normal"/>
    <w:link w:val="HeaderChar"/>
    <w:uiPriority w:val="99"/>
    <w:rsid w:val="002007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07AB"/>
    <w:rPr>
      <w:rFonts w:cs="Times New Roman"/>
    </w:rPr>
  </w:style>
  <w:style w:type="paragraph" w:styleId="Footer">
    <w:name w:val="footer"/>
    <w:basedOn w:val="Normal"/>
    <w:link w:val="FooterChar"/>
    <w:uiPriority w:val="99"/>
    <w:rsid w:val="002007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007AB"/>
    <w:rPr>
      <w:rFonts w:cs="Times New Roman"/>
    </w:rPr>
  </w:style>
  <w:style w:type="character" w:styleId="Hyperlink">
    <w:name w:val="Hyperlink"/>
    <w:basedOn w:val="DefaultParagraphFont"/>
    <w:uiPriority w:val="99"/>
    <w:semiHidden/>
    <w:rsid w:val="002007AB"/>
    <w:rPr>
      <w:rFonts w:cs="Times New Roman"/>
      <w:color w:val="0000FF"/>
      <w:u w:val="single"/>
    </w:rPr>
  </w:style>
  <w:style w:type="paragraph" w:styleId="NormalWeb">
    <w:name w:val="Normal (Web)"/>
    <w:basedOn w:val="Normal"/>
    <w:uiPriority w:val="99"/>
    <w:semiHidden/>
    <w:rsid w:val="002007AB"/>
    <w:pPr>
      <w:spacing w:after="225"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81561739">
      <w:marLeft w:val="0"/>
      <w:marRight w:val="0"/>
      <w:marTop w:val="0"/>
      <w:marBottom w:val="0"/>
      <w:divBdr>
        <w:top w:val="none" w:sz="0" w:space="0" w:color="auto"/>
        <w:left w:val="none" w:sz="0" w:space="0" w:color="auto"/>
        <w:bottom w:val="none" w:sz="0" w:space="0" w:color="auto"/>
        <w:right w:val="none" w:sz="0" w:space="0" w:color="auto"/>
      </w:divBdr>
    </w:div>
    <w:div w:id="1781561740">
      <w:marLeft w:val="0"/>
      <w:marRight w:val="0"/>
      <w:marTop w:val="0"/>
      <w:marBottom w:val="0"/>
      <w:divBdr>
        <w:top w:val="none" w:sz="0" w:space="0" w:color="auto"/>
        <w:left w:val="none" w:sz="0" w:space="0" w:color="auto"/>
        <w:bottom w:val="none" w:sz="0" w:space="0" w:color="auto"/>
        <w:right w:val="none" w:sz="0" w:space="0" w:color="auto"/>
      </w:divBdr>
    </w:div>
    <w:div w:id="1781561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lh.org/medical-staff/medical-staff-directory?specialty=Obstetrics+%26amp%3B+Gynecology"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4258</Words>
  <Characters>24100</Characters>
  <Application>Microsoft Office Word</Application>
  <DocSecurity>0</DocSecurity>
  <Lines>200</Lines>
  <Paragraphs>56</Paragraphs>
  <ScaleCrop>false</ScaleCrop>
  <Company>Nathan Littauer Hospital</Company>
  <LinksUpToDate>false</LinksUpToDate>
  <CharactersWithSpaces>28302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for Needs Identified in the  Community Health Needs Assessment Nathan Littauer Hospital &amp; Nursing Home</dc:title>
  <dc:creator>Cheryl McGrattan</dc:creator>
  <cp:lastModifiedBy>cmcgrattan</cp:lastModifiedBy>
  <cp:revision>2</cp:revision>
  <cp:lastPrinted>2014-01-01T18:25:00Z</cp:lastPrinted>
  <dcterms:created xsi:type="dcterms:W3CDTF">2015-10-09T15:06:00Z</dcterms:created>
  <dcterms:modified xsi:type="dcterms:W3CDTF">2015-10-09T15:06:00Z</dcterms:modified>
</cp:coreProperties>
</file>