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rawings/drawing6.xml" ContentType="application/vnd.openxmlformats-officedocument.drawingml.chartshap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5.xml" ContentType="application/vnd.openxmlformats-officedocument.wordprocessingml.footer+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charts/chart30.xml" ContentType="application/vnd.openxmlformats-officedocument.drawingml.chart+xml"/>
  <Default Extension="sldx" ContentType="application/vnd.openxmlformats-officedocument.presentationml.slide"/>
  <Override PartName="/docProps/core.xml" ContentType="application/vnd.openxmlformats-package.core-properties+xml"/>
  <Default Extension="png" ContentType="image/png"/>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footer4.xml" ContentType="application/vnd.openxmlformats-officedocument.wordprocessingml.footer+xml"/>
  <Override PartName="/word/charts/chart29.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2881"/>
        <w:tblW w:w="4000" w:type="pct"/>
        <w:tblBorders>
          <w:left w:val="single" w:sz="18" w:space="0" w:color="4F81BD"/>
        </w:tblBorders>
        <w:tblLook w:val="00A0"/>
      </w:tblPr>
      <w:tblGrid>
        <w:gridCol w:w="7672"/>
      </w:tblGrid>
      <w:tr w:rsidR="001670EC" w:rsidRPr="00680D98">
        <w:tc>
          <w:tcPr>
            <w:tcW w:w="7672" w:type="dxa"/>
            <w:tcMar>
              <w:top w:w="216" w:type="dxa"/>
              <w:left w:w="115" w:type="dxa"/>
              <w:bottom w:w="216" w:type="dxa"/>
              <w:right w:w="115" w:type="dxa"/>
            </w:tcMar>
          </w:tcPr>
          <w:p w:rsidR="001670EC" w:rsidRDefault="001670EC">
            <w:pPr>
              <w:pStyle w:val="NoSpacing"/>
              <w:rPr>
                <w:rFonts w:ascii="Cambria" w:hAnsi="Cambria"/>
              </w:rPr>
            </w:pPr>
            <w:r>
              <w:rPr>
                <w:rFonts w:ascii="Cambria" w:hAnsi="Cambria"/>
              </w:rPr>
              <w:t>Fulton County and Nathan Littauer Hospital</w:t>
            </w:r>
          </w:p>
        </w:tc>
      </w:tr>
      <w:tr w:rsidR="001670EC" w:rsidRPr="00680D98">
        <w:tc>
          <w:tcPr>
            <w:tcW w:w="7672" w:type="dxa"/>
          </w:tcPr>
          <w:p w:rsidR="001670EC" w:rsidRDefault="001670EC" w:rsidP="00412325">
            <w:pPr>
              <w:pStyle w:val="NoSpacing"/>
              <w:rPr>
                <w:rFonts w:ascii="Cambria" w:hAnsi="Cambria"/>
                <w:color w:val="4F81BD"/>
                <w:sz w:val="80"/>
                <w:szCs w:val="80"/>
              </w:rPr>
            </w:pPr>
            <w:r w:rsidRPr="00DC0AE4">
              <w:rPr>
                <w:rFonts w:ascii="Cambria" w:hAnsi="Cambria"/>
                <w:color w:val="4F81BD"/>
                <w:sz w:val="80"/>
                <w:szCs w:val="80"/>
              </w:rPr>
              <w:t>Community Health</w:t>
            </w:r>
            <w:r>
              <w:rPr>
                <w:rFonts w:ascii="Cambria" w:hAnsi="Cambria"/>
                <w:color w:val="4F81BD"/>
                <w:sz w:val="80"/>
                <w:szCs w:val="80"/>
              </w:rPr>
              <w:t xml:space="preserve"> Needs Assessment</w:t>
            </w:r>
          </w:p>
        </w:tc>
      </w:tr>
      <w:tr w:rsidR="001670EC" w:rsidRPr="00680D98">
        <w:tc>
          <w:tcPr>
            <w:tcW w:w="7672" w:type="dxa"/>
            <w:tcMar>
              <w:top w:w="216" w:type="dxa"/>
              <w:left w:w="115" w:type="dxa"/>
              <w:bottom w:w="216" w:type="dxa"/>
              <w:right w:w="115" w:type="dxa"/>
            </w:tcMar>
          </w:tcPr>
          <w:p w:rsidR="001670EC" w:rsidRDefault="001670EC">
            <w:pPr>
              <w:pStyle w:val="NoSpacing"/>
              <w:rPr>
                <w:rFonts w:ascii="Cambria" w:hAnsi="Cambria"/>
              </w:rPr>
            </w:pPr>
            <w:r>
              <w:rPr>
                <w:rFonts w:ascii="Cambria" w:hAnsi="Cambria"/>
              </w:rPr>
              <w:t>2013</w:t>
            </w:r>
          </w:p>
        </w:tc>
      </w:tr>
    </w:tbl>
    <w:p w:rsidR="001670EC" w:rsidRDefault="001670EC"/>
    <w:tbl>
      <w:tblPr>
        <w:tblpPr w:leftFromText="187" w:rightFromText="187" w:horzAnchor="margin" w:tblpXSpec="center" w:tblpYSpec="bottom"/>
        <w:tblW w:w="4000" w:type="pct"/>
        <w:tblLook w:val="00A0"/>
      </w:tblPr>
      <w:tblGrid>
        <w:gridCol w:w="7672"/>
      </w:tblGrid>
      <w:tr w:rsidR="001670EC" w:rsidRPr="00680D98">
        <w:tc>
          <w:tcPr>
            <w:tcW w:w="7672" w:type="dxa"/>
            <w:tcMar>
              <w:top w:w="216" w:type="dxa"/>
              <w:left w:w="115" w:type="dxa"/>
              <w:bottom w:w="216" w:type="dxa"/>
              <w:right w:w="115" w:type="dxa"/>
            </w:tcMar>
          </w:tcPr>
          <w:p w:rsidR="001670EC" w:rsidRPr="00680D98" w:rsidRDefault="001670EC">
            <w:pPr>
              <w:pStyle w:val="NoSpacing"/>
              <w:rPr>
                <w:color w:val="4F81BD"/>
              </w:rPr>
            </w:pPr>
          </w:p>
        </w:tc>
      </w:tr>
    </w:tbl>
    <w:p w:rsidR="001670EC" w:rsidRDefault="001670EC"/>
    <w:p w:rsidR="001670EC" w:rsidRDefault="001670EC">
      <w:pPr>
        <w:rPr>
          <w:color w:val="0070C0"/>
          <w:sz w:val="32"/>
          <w:szCs w:val="32"/>
        </w:rPr>
      </w:pPr>
    </w:p>
    <w:p w:rsidR="001670EC" w:rsidRDefault="001670EC">
      <w:pPr>
        <w:rPr>
          <w:color w:val="0070C0"/>
          <w:sz w:val="32"/>
          <w:szCs w:val="32"/>
        </w:rPr>
      </w:pPr>
    </w:p>
    <w:p w:rsidR="001670EC" w:rsidRDefault="001670EC">
      <w:pPr>
        <w:rPr>
          <w:color w:val="0070C0"/>
          <w:sz w:val="32"/>
          <w:szCs w:val="32"/>
        </w:rPr>
      </w:pPr>
    </w:p>
    <w:p w:rsidR="001670EC" w:rsidRDefault="001670EC">
      <w:pPr>
        <w:rPr>
          <w:color w:val="0070C0"/>
          <w:sz w:val="32"/>
          <w:szCs w:val="32"/>
        </w:rPr>
      </w:pPr>
    </w:p>
    <w:p w:rsidR="001670EC" w:rsidRDefault="001670EC">
      <w:pPr>
        <w:rPr>
          <w:color w:val="0070C0"/>
          <w:sz w:val="32"/>
          <w:szCs w:val="32"/>
        </w:rPr>
      </w:pPr>
    </w:p>
    <w:p w:rsidR="001670EC" w:rsidRDefault="001670EC">
      <w:pPr>
        <w:rPr>
          <w:color w:val="0070C0"/>
          <w:sz w:val="32"/>
          <w:szCs w:val="32"/>
        </w:rPr>
      </w:pPr>
    </w:p>
    <w:p w:rsidR="001670EC" w:rsidRDefault="001670EC">
      <w:pPr>
        <w:rPr>
          <w:color w:val="0070C0"/>
          <w:sz w:val="32"/>
          <w:szCs w:val="32"/>
        </w:rPr>
      </w:pPr>
    </w:p>
    <w:p w:rsidR="001670EC" w:rsidRDefault="001670EC" w:rsidP="00320F3B">
      <w:pPr>
        <w:rPr>
          <w:color w:val="0070C0"/>
          <w:sz w:val="32"/>
          <w:szCs w:val="32"/>
        </w:rPr>
      </w:pPr>
    </w:p>
    <w:p w:rsidR="001670EC" w:rsidRDefault="001670EC" w:rsidP="001B5BB9">
      <w:pPr>
        <w:rPr>
          <w:color w:val="0070C0"/>
          <w:sz w:val="32"/>
          <w:szCs w:val="32"/>
        </w:rPr>
      </w:pPr>
    </w:p>
    <w:p w:rsidR="001670EC" w:rsidRDefault="001670EC" w:rsidP="001B5BB9">
      <w:pPr>
        <w:rPr>
          <w:color w:val="0070C0"/>
          <w:sz w:val="32"/>
          <w:szCs w:val="32"/>
        </w:rPr>
      </w:pPr>
    </w:p>
    <w:p w:rsidR="001670EC" w:rsidRDefault="001670EC">
      <w:pPr>
        <w:rPr>
          <w:color w:val="0070C0"/>
          <w:sz w:val="32"/>
          <w:szCs w:val="32"/>
        </w:rPr>
      </w:pPr>
      <w:r>
        <w:rPr>
          <w:color w:val="0070C0"/>
          <w:sz w:val="32"/>
          <w:szCs w:val="32"/>
        </w:rPr>
        <w:tab/>
      </w:r>
      <w:r>
        <w:rPr>
          <w:color w:val="0070C0"/>
          <w:sz w:val="32"/>
          <w:szCs w:val="32"/>
        </w:rPr>
        <w:tab/>
      </w:r>
      <w:r>
        <w:rPr>
          <w:color w:val="0070C0"/>
          <w:sz w:val="32"/>
          <w:szCs w:val="32"/>
        </w:rPr>
        <w:tab/>
      </w:r>
    </w:p>
    <w:p w:rsidR="001670EC" w:rsidRDefault="001670EC" w:rsidP="00D75DD1">
      <w:pPr>
        <w:ind w:left="2880" w:firstLine="720"/>
        <w:rPr>
          <w:color w:val="0070C0"/>
          <w:sz w:val="32"/>
          <w:szCs w:val="32"/>
        </w:rPr>
      </w:pPr>
    </w:p>
    <w:p w:rsidR="001670EC" w:rsidRDefault="00B240D8" w:rsidP="00D75DD1">
      <w:pPr>
        <w:ind w:left="2880" w:firstLine="720"/>
        <w:rPr>
          <w:color w:val="0070C0"/>
          <w:sz w:val="32"/>
          <w:szCs w:val="32"/>
        </w:rPr>
      </w:pPr>
      <w:r>
        <w:rPr>
          <w:noProof/>
        </w:rPr>
        <w:drawing>
          <wp:anchor distT="0" distB="0" distL="114300" distR="114300" simplePos="0" relativeHeight="251658240" behindDoc="0" locked="0" layoutInCell="1" allowOverlap="1">
            <wp:simplePos x="0" y="0"/>
            <wp:positionH relativeFrom="column">
              <wp:posOffset>-381000</wp:posOffset>
            </wp:positionH>
            <wp:positionV relativeFrom="paragraph">
              <wp:posOffset>400050</wp:posOffset>
            </wp:positionV>
            <wp:extent cx="1913890" cy="1775460"/>
            <wp:effectExtent l="19050" t="0" r="0" b="0"/>
            <wp:wrapNone/>
            <wp:docPr id="43" name="Picture 12" descr="Fulton County sealseal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lton County sealseal edit.jpg"/>
                    <pic:cNvPicPr>
                      <a:picLocks noChangeAspect="1" noChangeArrowheads="1"/>
                    </pic:cNvPicPr>
                  </pic:nvPicPr>
                  <pic:blipFill>
                    <a:blip r:embed="rId7"/>
                    <a:srcRect/>
                    <a:stretch>
                      <a:fillRect/>
                    </a:stretch>
                  </pic:blipFill>
                  <pic:spPr bwMode="auto">
                    <a:xfrm>
                      <a:off x="0" y="0"/>
                      <a:ext cx="1913890" cy="1775460"/>
                    </a:xfrm>
                    <a:prstGeom prst="rect">
                      <a:avLst/>
                    </a:prstGeom>
                    <a:noFill/>
                  </pic:spPr>
                </pic:pic>
              </a:graphicData>
            </a:graphic>
          </wp:anchor>
        </w:drawing>
      </w:r>
    </w:p>
    <w:p w:rsidR="001670EC" w:rsidRDefault="001670EC" w:rsidP="00D75DD1">
      <w:pPr>
        <w:ind w:left="4320"/>
        <w:rPr>
          <w:color w:val="0070C0"/>
          <w:sz w:val="32"/>
          <w:szCs w:val="32"/>
        </w:rPr>
      </w:pPr>
      <w:r>
        <w:rPr>
          <w:color w:val="0070C0"/>
          <w:sz w:val="32"/>
          <w:szCs w:val="32"/>
        </w:rPr>
        <w:t xml:space="preserve">   </w:t>
      </w:r>
    </w:p>
    <w:p w:rsidR="001670EC" w:rsidRDefault="00B240D8" w:rsidP="00D75DD1">
      <w:pPr>
        <w:ind w:left="4320"/>
        <w:rPr>
          <w:rFonts w:ascii="Cambria" w:hAnsi="Cambria"/>
          <w:b/>
          <w:color w:val="0070C0"/>
          <w:sz w:val="32"/>
          <w:szCs w:val="32"/>
        </w:rPr>
      </w:pPr>
      <w:r>
        <w:rPr>
          <w:noProof/>
          <w:color w:val="0070C0"/>
          <w:sz w:val="32"/>
          <w:szCs w:val="32"/>
        </w:rPr>
        <w:drawing>
          <wp:inline distT="0" distB="0" distL="0" distR="0">
            <wp:extent cx="3668395" cy="97980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68395" cy="979805"/>
                    </a:xfrm>
                    <a:prstGeom prst="rect">
                      <a:avLst/>
                    </a:prstGeom>
                    <a:noFill/>
                    <a:ln w="9525">
                      <a:noFill/>
                      <a:miter lim="800000"/>
                      <a:headEnd/>
                      <a:tailEnd/>
                    </a:ln>
                  </pic:spPr>
                </pic:pic>
              </a:graphicData>
            </a:graphic>
          </wp:inline>
        </w:drawing>
      </w:r>
      <w:r w:rsidR="001670EC">
        <w:rPr>
          <w:color w:val="0070C0"/>
          <w:sz w:val="32"/>
          <w:szCs w:val="32"/>
        </w:rPr>
        <w:br w:type="page"/>
      </w:r>
    </w:p>
    <w:p w:rsidR="001670EC" w:rsidRPr="00DC0AE4" w:rsidRDefault="001670EC" w:rsidP="00DB7C77">
      <w:pPr>
        <w:pStyle w:val="TOC1"/>
        <w:rPr>
          <w:sz w:val="22"/>
          <w:szCs w:val="22"/>
        </w:rPr>
      </w:pPr>
      <w:r w:rsidRPr="00DC0AE4">
        <w:rPr>
          <w:sz w:val="32"/>
          <w:szCs w:val="32"/>
        </w:rPr>
        <w:t xml:space="preserve">Table of Contents </w:t>
      </w:r>
    </w:p>
    <w:p w:rsidR="001670EC" w:rsidRPr="00DC0AE4" w:rsidRDefault="003D1A5F">
      <w:pPr>
        <w:pStyle w:val="TOC1"/>
        <w:rPr>
          <w:rFonts w:ascii="Calibri" w:hAnsi="Calibri"/>
          <w:b w:val="0"/>
          <w:noProof/>
          <w:sz w:val="22"/>
          <w:szCs w:val="22"/>
        </w:rPr>
      </w:pPr>
      <w:r w:rsidRPr="003D1A5F">
        <w:fldChar w:fldCharType="begin"/>
      </w:r>
      <w:r w:rsidR="001670EC" w:rsidRPr="00DC0AE4">
        <w:instrText xml:space="preserve"> TOC \o "1-3" \h \z \u A</w:instrText>
      </w:r>
      <w:r w:rsidRPr="003D1A5F">
        <w:fldChar w:fldCharType="separate"/>
      </w:r>
      <w:hyperlink w:anchor="_Toc355250941" w:history="1">
        <w:r w:rsidR="001670EC" w:rsidRPr="00DC0AE4">
          <w:rPr>
            <w:rStyle w:val="Hyperlink"/>
            <w:noProof/>
            <w:color w:val="4F81BD"/>
          </w:rPr>
          <w:t>Introduction</w:t>
        </w:r>
        <w:r w:rsidR="001670EC" w:rsidRPr="00DC0AE4">
          <w:rPr>
            <w:noProof/>
            <w:webHidden/>
          </w:rPr>
          <w:tab/>
        </w:r>
        <w:r w:rsidRPr="00DC0AE4">
          <w:rPr>
            <w:noProof/>
            <w:webHidden/>
          </w:rPr>
          <w:fldChar w:fldCharType="begin"/>
        </w:r>
        <w:r w:rsidR="001670EC" w:rsidRPr="00DC0AE4">
          <w:rPr>
            <w:noProof/>
            <w:webHidden/>
          </w:rPr>
          <w:instrText xml:space="preserve"> PAGEREF _Toc355250941 \h </w:instrText>
        </w:r>
        <w:r w:rsidRPr="00DC0AE4">
          <w:rPr>
            <w:noProof/>
            <w:webHidden/>
          </w:rPr>
        </w:r>
        <w:r w:rsidRPr="00DC0AE4">
          <w:rPr>
            <w:noProof/>
            <w:webHidden/>
          </w:rPr>
          <w:fldChar w:fldCharType="separate"/>
        </w:r>
        <w:r w:rsidR="001670EC">
          <w:rPr>
            <w:noProof/>
            <w:webHidden/>
          </w:rPr>
          <w:t>4</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2" w:history="1">
        <w:r w:rsidR="001670EC" w:rsidRPr="00DC0AE4">
          <w:rPr>
            <w:rStyle w:val="Hyperlink"/>
            <w:noProof/>
            <w:color w:val="4F81BD"/>
          </w:rPr>
          <w:t>The Adirondack Rural Health Network</w:t>
        </w:r>
        <w:r w:rsidR="001670EC" w:rsidRPr="00DC0AE4">
          <w:rPr>
            <w:noProof/>
            <w:webHidden/>
          </w:rPr>
          <w:tab/>
        </w:r>
        <w:r w:rsidRPr="00DC0AE4">
          <w:rPr>
            <w:noProof/>
            <w:webHidden/>
          </w:rPr>
          <w:fldChar w:fldCharType="begin"/>
        </w:r>
        <w:r w:rsidR="001670EC" w:rsidRPr="00DC0AE4">
          <w:rPr>
            <w:noProof/>
            <w:webHidden/>
          </w:rPr>
          <w:instrText xml:space="preserve"> PAGEREF _Toc355250942 \h </w:instrText>
        </w:r>
        <w:r w:rsidRPr="00DC0AE4">
          <w:rPr>
            <w:noProof/>
            <w:webHidden/>
          </w:rPr>
        </w:r>
        <w:r w:rsidRPr="00DC0AE4">
          <w:rPr>
            <w:noProof/>
            <w:webHidden/>
          </w:rPr>
          <w:fldChar w:fldCharType="separate"/>
        </w:r>
        <w:r w:rsidR="001670EC">
          <w:rPr>
            <w:noProof/>
            <w:webHidden/>
          </w:rPr>
          <w:t>4</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3" w:history="1">
        <w:r w:rsidR="001670EC" w:rsidRPr="00DC0AE4">
          <w:rPr>
            <w:rStyle w:val="Hyperlink"/>
            <w:noProof/>
            <w:color w:val="4F81BD"/>
          </w:rPr>
          <w:t>New York State’s Prevention Agenda 2013 - 2017</w:t>
        </w:r>
        <w:r w:rsidR="001670EC" w:rsidRPr="00DC0AE4">
          <w:rPr>
            <w:noProof/>
            <w:webHidden/>
          </w:rPr>
          <w:tab/>
        </w:r>
        <w:r w:rsidRPr="00DC0AE4">
          <w:rPr>
            <w:noProof/>
            <w:webHidden/>
          </w:rPr>
          <w:fldChar w:fldCharType="begin"/>
        </w:r>
        <w:r w:rsidR="001670EC" w:rsidRPr="00DC0AE4">
          <w:rPr>
            <w:noProof/>
            <w:webHidden/>
          </w:rPr>
          <w:instrText xml:space="preserve"> PAGEREF _Toc355250943 \h </w:instrText>
        </w:r>
        <w:r w:rsidRPr="00DC0AE4">
          <w:rPr>
            <w:noProof/>
            <w:webHidden/>
          </w:rPr>
        </w:r>
        <w:r w:rsidRPr="00DC0AE4">
          <w:rPr>
            <w:noProof/>
            <w:webHidden/>
          </w:rPr>
          <w:fldChar w:fldCharType="separate"/>
        </w:r>
        <w:r w:rsidR="001670EC">
          <w:rPr>
            <w:noProof/>
            <w:webHidden/>
          </w:rPr>
          <w:t>5</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4" w:history="1">
        <w:r w:rsidR="001670EC" w:rsidRPr="00DC0AE4">
          <w:rPr>
            <w:rStyle w:val="Hyperlink"/>
            <w:noProof/>
            <w:color w:val="4F81BD"/>
          </w:rPr>
          <w:t>Health Needs Assessment Process</w:t>
        </w:r>
        <w:r w:rsidR="001670EC" w:rsidRPr="00DC0AE4">
          <w:rPr>
            <w:noProof/>
            <w:webHidden/>
          </w:rPr>
          <w:tab/>
        </w:r>
        <w:r w:rsidRPr="00DC0AE4">
          <w:rPr>
            <w:noProof/>
            <w:webHidden/>
          </w:rPr>
          <w:fldChar w:fldCharType="begin"/>
        </w:r>
        <w:r w:rsidR="001670EC" w:rsidRPr="00DC0AE4">
          <w:rPr>
            <w:noProof/>
            <w:webHidden/>
          </w:rPr>
          <w:instrText xml:space="preserve"> PAGEREF _Toc355250944 \h </w:instrText>
        </w:r>
        <w:r w:rsidRPr="00DC0AE4">
          <w:rPr>
            <w:noProof/>
            <w:webHidden/>
          </w:rPr>
        </w:r>
        <w:r w:rsidRPr="00DC0AE4">
          <w:rPr>
            <w:noProof/>
            <w:webHidden/>
          </w:rPr>
          <w:fldChar w:fldCharType="separate"/>
        </w:r>
        <w:r w:rsidR="001670EC">
          <w:rPr>
            <w:noProof/>
            <w:webHidden/>
          </w:rPr>
          <w:t>6</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5" w:history="1">
        <w:r w:rsidR="001670EC" w:rsidRPr="00DC0AE4">
          <w:rPr>
            <w:rStyle w:val="Hyperlink"/>
            <w:noProof/>
            <w:color w:val="4F81BD"/>
          </w:rPr>
          <w:t>Geography</w:t>
        </w:r>
        <w:r w:rsidR="001670EC" w:rsidRPr="00DC0AE4">
          <w:rPr>
            <w:noProof/>
            <w:webHidden/>
          </w:rPr>
          <w:tab/>
        </w:r>
        <w:r w:rsidRPr="00DC0AE4">
          <w:rPr>
            <w:noProof/>
            <w:webHidden/>
          </w:rPr>
          <w:fldChar w:fldCharType="begin"/>
        </w:r>
        <w:r w:rsidR="001670EC" w:rsidRPr="00DC0AE4">
          <w:rPr>
            <w:noProof/>
            <w:webHidden/>
          </w:rPr>
          <w:instrText xml:space="preserve"> PAGEREF _Toc355250945 \h </w:instrText>
        </w:r>
        <w:r w:rsidRPr="00DC0AE4">
          <w:rPr>
            <w:noProof/>
            <w:webHidden/>
          </w:rPr>
        </w:r>
        <w:r w:rsidRPr="00DC0AE4">
          <w:rPr>
            <w:noProof/>
            <w:webHidden/>
          </w:rPr>
          <w:fldChar w:fldCharType="separate"/>
        </w:r>
        <w:r w:rsidR="001670EC">
          <w:rPr>
            <w:noProof/>
            <w:webHidden/>
          </w:rPr>
          <w:t>6</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6" w:history="1">
        <w:r w:rsidR="001670EC" w:rsidRPr="00DC0AE4">
          <w:rPr>
            <w:rStyle w:val="Hyperlink"/>
            <w:noProof/>
            <w:color w:val="4F81BD"/>
          </w:rPr>
          <w:t>Infrastructure and Services</w:t>
        </w:r>
        <w:r w:rsidR="001670EC" w:rsidRPr="00DC0AE4">
          <w:rPr>
            <w:noProof/>
            <w:webHidden/>
          </w:rPr>
          <w:tab/>
        </w:r>
        <w:r w:rsidRPr="00DC0AE4">
          <w:rPr>
            <w:noProof/>
            <w:webHidden/>
          </w:rPr>
          <w:fldChar w:fldCharType="begin"/>
        </w:r>
        <w:r w:rsidR="001670EC" w:rsidRPr="00DC0AE4">
          <w:rPr>
            <w:noProof/>
            <w:webHidden/>
          </w:rPr>
          <w:instrText xml:space="preserve"> PAGEREF _Toc355250946 \h </w:instrText>
        </w:r>
        <w:r w:rsidRPr="00DC0AE4">
          <w:rPr>
            <w:noProof/>
            <w:webHidden/>
          </w:rPr>
        </w:r>
        <w:r w:rsidRPr="00DC0AE4">
          <w:rPr>
            <w:noProof/>
            <w:webHidden/>
          </w:rPr>
          <w:fldChar w:fldCharType="separate"/>
        </w:r>
        <w:r w:rsidR="001670EC">
          <w:rPr>
            <w:noProof/>
            <w:webHidden/>
          </w:rPr>
          <w:t>7</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7" w:history="1">
        <w:r w:rsidR="001670EC" w:rsidRPr="00DC0AE4">
          <w:rPr>
            <w:rStyle w:val="Hyperlink"/>
            <w:noProof/>
            <w:color w:val="4F81BD"/>
          </w:rPr>
          <w:t>Health Care Facilities</w:t>
        </w:r>
        <w:r w:rsidR="001670EC" w:rsidRPr="00DC0AE4">
          <w:rPr>
            <w:noProof/>
            <w:webHidden/>
          </w:rPr>
          <w:tab/>
        </w:r>
        <w:r w:rsidRPr="00DC0AE4">
          <w:rPr>
            <w:noProof/>
            <w:webHidden/>
          </w:rPr>
          <w:fldChar w:fldCharType="begin"/>
        </w:r>
        <w:r w:rsidR="001670EC" w:rsidRPr="00DC0AE4">
          <w:rPr>
            <w:noProof/>
            <w:webHidden/>
          </w:rPr>
          <w:instrText xml:space="preserve"> PAGEREF _Toc355250947 \h </w:instrText>
        </w:r>
        <w:r w:rsidRPr="00DC0AE4">
          <w:rPr>
            <w:noProof/>
            <w:webHidden/>
          </w:rPr>
        </w:r>
        <w:r w:rsidRPr="00DC0AE4">
          <w:rPr>
            <w:noProof/>
            <w:webHidden/>
          </w:rPr>
          <w:fldChar w:fldCharType="separate"/>
        </w:r>
        <w:r w:rsidR="001670EC">
          <w:rPr>
            <w:noProof/>
            <w:webHidden/>
          </w:rPr>
          <w:t>8</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8" w:history="1">
        <w:r w:rsidR="001670EC" w:rsidRPr="00DC0AE4">
          <w:rPr>
            <w:rStyle w:val="Hyperlink"/>
            <w:noProof/>
            <w:color w:val="4F81BD"/>
          </w:rPr>
          <w:t>Population and Demographics</w:t>
        </w:r>
        <w:r w:rsidR="001670EC" w:rsidRPr="00DC0AE4">
          <w:rPr>
            <w:noProof/>
            <w:webHidden/>
          </w:rPr>
          <w:tab/>
        </w:r>
        <w:r w:rsidRPr="00DC0AE4">
          <w:rPr>
            <w:noProof/>
            <w:webHidden/>
          </w:rPr>
          <w:fldChar w:fldCharType="begin"/>
        </w:r>
        <w:r w:rsidR="001670EC" w:rsidRPr="00DC0AE4">
          <w:rPr>
            <w:noProof/>
            <w:webHidden/>
          </w:rPr>
          <w:instrText xml:space="preserve"> PAGEREF _Toc355250948 \h </w:instrText>
        </w:r>
        <w:r w:rsidRPr="00DC0AE4">
          <w:rPr>
            <w:noProof/>
            <w:webHidden/>
          </w:rPr>
        </w:r>
        <w:r w:rsidRPr="00DC0AE4">
          <w:rPr>
            <w:noProof/>
            <w:webHidden/>
          </w:rPr>
          <w:fldChar w:fldCharType="separate"/>
        </w:r>
        <w:r w:rsidR="001670EC">
          <w:rPr>
            <w:noProof/>
            <w:webHidden/>
          </w:rPr>
          <w:t>9</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49" w:history="1">
        <w:r w:rsidR="001670EC" w:rsidRPr="00DC0AE4">
          <w:rPr>
            <w:rStyle w:val="Hyperlink"/>
            <w:noProof/>
            <w:color w:val="4F81BD"/>
          </w:rPr>
          <w:t>Healthcare Challenges in Fulton County</w:t>
        </w:r>
        <w:r w:rsidR="001670EC" w:rsidRPr="00DC0AE4">
          <w:rPr>
            <w:noProof/>
            <w:webHidden/>
          </w:rPr>
          <w:tab/>
        </w:r>
        <w:r w:rsidRPr="00DC0AE4">
          <w:rPr>
            <w:noProof/>
            <w:webHidden/>
          </w:rPr>
          <w:fldChar w:fldCharType="begin"/>
        </w:r>
        <w:r w:rsidR="001670EC" w:rsidRPr="00DC0AE4">
          <w:rPr>
            <w:noProof/>
            <w:webHidden/>
          </w:rPr>
          <w:instrText xml:space="preserve"> PAGEREF _Toc355250949 \h </w:instrText>
        </w:r>
        <w:r w:rsidRPr="00DC0AE4">
          <w:rPr>
            <w:noProof/>
            <w:webHidden/>
          </w:rPr>
        </w:r>
        <w:r w:rsidRPr="00DC0AE4">
          <w:rPr>
            <w:noProof/>
            <w:webHidden/>
          </w:rPr>
          <w:fldChar w:fldCharType="separate"/>
        </w:r>
        <w:r w:rsidR="001670EC">
          <w:rPr>
            <w:noProof/>
            <w:webHidden/>
          </w:rPr>
          <w:t>10</w:t>
        </w:r>
        <w:r w:rsidRPr="00DC0AE4">
          <w:rPr>
            <w:noProof/>
            <w:webHidden/>
          </w:rPr>
          <w:fldChar w:fldCharType="end"/>
        </w:r>
      </w:hyperlink>
    </w:p>
    <w:p w:rsidR="001670EC" w:rsidRPr="00DC0AE4" w:rsidRDefault="001670EC">
      <w:pPr>
        <w:pStyle w:val="TOC1"/>
        <w:rPr>
          <w:rFonts w:ascii="Calibri" w:hAnsi="Calibri"/>
          <w:b w:val="0"/>
          <w:noProof/>
          <w:sz w:val="22"/>
          <w:szCs w:val="22"/>
        </w:rPr>
      </w:pPr>
      <w:r w:rsidRPr="00DC0AE4">
        <w:t xml:space="preserve">Prioritized </w:t>
      </w:r>
      <w:hyperlink w:anchor="_Toc355250950" w:history="1">
        <w:r w:rsidRPr="00DC0AE4">
          <w:rPr>
            <w:rStyle w:val="Hyperlink"/>
            <w:noProof/>
            <w:color w:val="4F81BD"/>
          </w:rPr>
          <w:t>Significant Health Needs in Fulton County</w:t>
        </w:r>
        <w:r w:rsidRPr="00DC0AE4">
          <w:rPr>
            <w:noProof/>
            <w:webHidden/>
          </w:rPr>
          <w:tab/>
        </w:r>
        <w:r>
          <w:rPr>
            <w:noProof/>
            <w:webHidden/>
          </w:rPr>
          <w:t>22</w:t>
        </w:r>
      </w:hyperlink>
    </w:p>
    <w:p w:rsidR="001670EC" w:rsidRPr="00DC0AE4" w:rsidRDefault="003D1A5F">
      <w:pPr>
        <w:pStyle w:val="TOC1"/>
        <w:rPr>
          <w:rFonts w:ascii="Calibri" w:hAnsi="Calibri"/>
          <w:b w:val="0"/>
          <w:noProof/>
          <w:sz w:val="22"/>
          <w:szCs w:val="22"/>
        </w:rPr>
      </w:pPr>
      <w:hyperlink w:anchor="_Toc355250951" w:history="1">
        <w:r w:rsidR="001670EC" w:rsidRPr="00DC0AE4">
          <w:rPr>
            <w:rStyle w:val="Hyperlink"/>
            <w:noProof/>
            <w:color w:val="4F81BD"/>
          </w:rPr>
          <w:t>Figures and Tables</w:t>
        </w:r>
        <w:r w:rsidR="001670EC" w:rsidRPr="00DC0AE4">
          <w:rPr>
            <w:noProof/>
            <w:webHidden/>
          </w:rPr>
          <w:tab/>
        </w:r>
        <w:r w:rsidRPr="00DC0AE4">
          <w:rPr>
            <w:noProof/>
            <w:webHidden/>
          </w:rPr>
          <w:fldChar w:fldCharType="begin"/>
        </w:r>
        <w:r w:rsidR="001670EC" w:rsidRPr="00DC0AE4">
          <w:rPr>
            <w:noProof/>
            <w:webHidden/>
          </w:rPr>
          <w:instrText xml:space="preserve"> PAGEREF _Toc355250951 \h </w:instrText>
        </w:r>
        <w:r w:rsidRPr="00DC0AE4">
          <w:rPr>
            <w:noProof/>
            <w:webHidden/>
          </w:rPr>
        </w:r>
        <w:r w:rsidRPr="00DC0AE4">
          <w:rPr>
            <w:noProof/>
            <w:webHidden/>
          </w:rPr>
          <w:fldChar w:fldCharType="separate"/>
        </w:r>
        <w:r w:rsidR="001670EC">
          <w:rPr>
            <w:noProof/>
            <w:webHidden/>
          </w:rPr>
          <w:t>26</w:t>
        </w:r>
        <w:r w:rsidRPr="00DC0AE4">
          <w:rPr>
            <w:noProof/>
            <w:webHidden/>
          </w:rPr>
          <w:fldChar w:fldCharType="end"/>
        </w:r>
      </w:hyperlink>
    </w:p>
    <w:p w:rsidR="001670EC" w:rsidRPr="00DC0AE4" w:rsidRDefault="003D1A5F" w:rsidP="004B16E5">
      <w:pPr>
        <w:pStyle w:val="TOC2"/>
        <w:rPr>
          <w:noProof/>
        </w:rPr>
      </w:pPr>
      <w:hyperlink w:anchor="_Toc355250952" w:history="1">
        <w:r w:rsidR="001670EC" w:rsidRPr="00DC0AE4">
          <w:rPr>
            <w:rStyle w:val="Hyperlink"/>
            <w:noProof/>
            <w:color w:val="auto"/>
          </w:rPr>
          <w:t>Figure 1:  Maps of Fulton County</w:t>
        </w:r>
        <w:r w:rsidR="001670EC">
          <w:rPr>
            <w:noProof/>
            <w:webHidden/>
          </w:rPr>
          <w:t xml:space="preserve"> ………………………………………………………………………………………………………</w:t>
        </w:r>
        <w:r w:rsidRPr="00DC0AE4">
          <w:rPr>
            <w:noProof/>
            <w:webHidden/>
          </w:rPr>
          <w:fldChar w:fldCharType="begin"/>
        </w:r>
        <w:r w:rsidR="001670EC" w:rsidRPr="00DC0AE4">
          <w:rPr>
            <w:noProof/>
            <w:webHidden/>
          </w:rPr>
          <w:instrText xml:space="preserve"> PAGEREF _Toc355250952 \h </w:instrText>
        </w:r>
        <w:r w:rsidRPr="00DC0AE4">
          <w:rPr>
            <w:noProof/>
            <w:webHidden/>
          </w:rPr>
        </w:r>
        <w:r w:rsidRPr="00DC0AE4">
          <w:rPr>
            <w:noProof/>
            <w:webHidden/>
          </w:rPr>
          <w:fldChar w:fldCharType="separate"/>
        </w:r>
        <w:r w:rsidR="001670EC">
          <w:rPr>
            <w:noProof/>
            <w:webHidden/>
          </w:rPr>
          <w:t>26</w:t>
        </w:r>
        <w:r w:rsidRPr="00DC0AE4">
          <w:rPr>
            <w:noProof/>
            <w:webHidden/>
          </w:rPr>
          <w:fldChar w:fldCharType="end"/>
        </w:r>
      </w:hyperlink>
    </w:p>
    <w:p w:rsidR="001670EC" w:rsidRDefault="003D1A5F" w:rsidP="004B16E5">
      <w:pPr>
        <w:pStyle w:val="TOC2"/>
      </w:pPr>
      <w:hyperlink w:anchor="_Toc355250954" w:history="1">
        <w:r w:rsidR="001670EC" w:rsidRPr="00DC0AE4">
          <w:rPr>
            <w:rStyle w:val="Hyperlink"/>
            <w:noProof/>
            <w:color w:val="auto"/>
          </w:rPr>
          <w:t>Figure 2</w:t>
        </w:r>
        <w:r w:rsidR="001670EC">
          <w:rPr>
            <w:rStyle w:val="Hyperlink"/>
            <w:noProof/>
            <w:color w:val="auto"/>
          </w:rPr>
          <w:t>a</w:t>
        </w:r>
        <w:r w:rsidR="001670EC" w:rsidRPr="00DC0AE4">
          <w:rPr>
            <w:rStyle w:val="Hyperlink"/>
            <w:noProof/>
            <w:color w:val="auto"/>
          </w:rPr>
          <w:t xml:space="preserve">:  2011 Hospital Discharges by Facility </w:t>
        </w:r>
        <w:r w:rsidR="001670EC">
          <w:rPr>
            <w:noProof/>
            <w:webHidden/>
          </w:rPr>
          <w:t>………………………………………………………………………………..</w:t>
        </w:r>
        <w:r w:rsidRPr="00DC0AE4">
          <w:rPr>
            <w:noProof/>
            <w:webHidden/>
          </w:rPr>
          <w:fldChar w:fldCharType="begin"/>
        </w:r>
        <w:r w:rsidR="001670EC" w:rsidRPr="00DC0AE4">
          <w:rPr>
            <w:noProof/>
            <w:webHidden/>
          </w:rPr>
          <w:instrText xml:space="preserve"> PAGEREF _Toc355250954 \h </w:instrText>
        </w:r>
        <w:r w:rsidRPr="00DC0AE4">
          <w:rPr>
            <w:noProof/>
            <w:webHidden/>
          </w:rPr>
        </w:r>
        <w:r w:rsidRPr="00DC0AE4">
          <w:rPr>
            <w:noProof/>
            <w:webHidden/>
          </w:rPr>
          <w:fldChar w:fldCharType="separate"/>
        </w:r>
        <w:r w:rsidR="001670EC">
          <w:rPr>
            <w:noProof/>
            <w:webHidden/>
          </w:rPr>
          <w:t>26</w:t>
        </w:r>
        <w:r w:rsidRPr="00DC0AE4">
          <w:rPr>
            <w:noProof/>
            <w:webHidden/>
          </w:rPr>
          <w:fldChar w:fldCharType="end"/>
        </w:r>
      </w:hyperlink>
    </w:p>
    <w:p w:rsidR="001670EC" w:rsidRPr="00BD09DE" w:rsidRDefault="001670EC" w:rsidP="00BD09DE">
      <w:pPr>
        <w:ind w:firstLine="220"/>
      </w:pPr>
      <w:r>
        <w:t>Figure 2b:  2011 Nathan Littauer Discharges by County of Residence……………………………………...........</w:t>
      </w:r>
      <w:r w:rsidR="004B16E5">
        <w:t>..</w:t>
      </w:r>
      <w:r>
        <w:t xml:space="preserve">27 </w:t>
      </w:r>
    </w:p>
    <w:p w:rsidR="001670EC" w:rsidRDefault="003D1A5F" w:rsidP="004B16E5">
      <w:pPr>
        <w:pStyle w:val="TOC2"/>
      </w:pPr>
      <w:hyperlink w:anchor="_Toc355250955" w:history="1">
        <w:r w:rsidR="001670EC" w:rsidRPr="00DC0AE4">
          <w:rPr>
            <w:rStyle w:val="Hyperlink"/>
            <w:noProof/>
            <w:color w:val="auto"/>
          </w:rPr>
          <w:t>Figure 3</w:t>
        </w:r>
        <w:r w:rsidR="001670EC">
          <w:rPr>
            <w:rStyle w:val="Hyperlink"/>
            <w:noProof/>
            <w:color w:val="auto"/>
          </w:rPr>
          <w:t>a</w:t>
        </w:r>
        <w:r w:rsidR="001670EC" w:rsidRPr="00DC0AE4">
          <w:rPr>
            <w:rStyle w:val="Hyperlink"/>
            <w:noProof/>
            <w:color w:val="auto"/>
          </w:rPr>
          <w:t>:  Population</w:t>
        </w:r>
        <w:r w:rsidR="001670EC">
          <w:rPr>
            <w:rStyle w:val="Hyperlink"/>
            <w:noProof/>
            <w:color w:val="auto"/>
          </w:rPr>
          <w:t xml:space="preserve"> Distribution by Age </w:t>
        </w:r>
        <w:r w:rsidR="001670EC" w:rsidRPr="00DC0AE4">
          <w:rPr>
            <w:rStyle w:val="Hyperlink"/>
            <w:noProof/>
            <w:color w:val="auto"/>
          </w:rPr>
          <w:t xml:space="preserve"> Fulton County, 2010</w:t>
        </w:r>
        <w:r w:rsidR="001670EC">
          <w:rPr>
            <w:noProof/>
            <w:webHidden/>
          </w:rPr>
          <w:t xml:space="preserve"> ………………………………………………………</w:t>
        </w:r>
        <w:r w:rsidRPr="00DC0AE4">
          <w:rPr>
            <w:noProof/>
            <w:webHidden/>
          </w:rPr>
          <w:fldChar w:fldCharType="begin"/>
        </w:r>
        <w:r w:rsidR="001670EC" w:rsidRPr="00DC0AE4">
          <w:rPr>
            <w:noProof/>
            <w:webHidden/>
          </w:rPr>
          <w:instrText xml:space="preserve"> PAGEREF _Toc355250955 \h </w:instrText>
        </w:r>
        <w:r w:rsidRPr="00DC0AE4">
          <w:rPr>
            <w:noProof/>
            <w:webHidden/>
          </w:rPr>
        </w:r>
        <w:r w:rsidRPr="00DC0AE4">
          <w:rPr>
            <w:noProof/>
            <w:webHidden/>
          </w:rPr>
          <w:fldChar w:fldCharType="separate"/>
        </w:r>
        <w:r w:rsidR="001670EC">
          <w:rPr>
            <w:noProof/>
            <w:webHidden/>
          </w:rPr>
          <w:t>27</w:t>
        </w:r>
        <w:r w:rsidRPr="00DC0AE4">
          <w:rPr>
            <w:noProof/>
            <w:webHidden/>
          </w:rPr>
          <w:fldChar w:fldCharType="end"/>
        </w:r>
      </w:hyperlink>
    </w:p>
    <w:p w:rsidR="001670EC" w:rsidRPr="00BD09DE" w:rsidRDefault="001670EC" w:rsidP="00BD09DE">
      <w:pPr>
        <w:ind w:firstLine="220"/>
      </w:pPr>
      <w:r>
        <w:t>Figure 3b:  Population Distribution by Location, Fulton County………………………………………………………</w:t>
      </w:r>
      <w:r w:rsidR="004B16E5">
        <w:t>.</w:t>
      </w:r>
      <w:r>
        <w:t>. 28</w:t>
      </w:r>
    </w:p>
    <w:p w:rsidR="001670EC" w:rsidRPr="00DC0AE4" w:rsidRDefault="003D1A5F" w:rsidP="004B16E5">
      <w:pPr>
        <w:pStyle w:val="TOC2"/>
        <w:rPr>
          <w:noProof/>
        </w:rPr>
      </w:pPr>
      <w:hyperlink w:anchor="_Toc355250956" w:history="1">
        <w:r w:rsidR="001670EC" w:rsidRPr="00DC0AE4">
          <w:rPr>
            <w:rStyle w:val="Hyperlink"/>
            <w:noProof/>
            <w:color w:val="auto"/>
          </w:rPr>
          <w:t>Figure 4:  Population Distribution by Race, Fulton County, 2011</w:t>
        </w:r>
        <w:r w:rsidR="001670EC">
          <w:rPr>
            <w:noProof/>
            <w:webHidden/>
          </w:rPr>
          <w:t xml:space="preserve"> ………………………………………………………</w:t>
        </w:r>
        <w:r w:rsidRPr="00DC0AE4">
          <w:rPr>
            <w:noProof/>
            <w:webHidden/>
          </w:rPr>
          <w:fldChar w:fldCharType="begin"/>
        </w:r>
        <w:r w:rsidR="001670EC" w:rsidRPr="00DC0AE4">
          <w:rPr>
            <w:noProof/>
            <w:webHidden/>
          </w:rPr>
          <w:instrText xml:space="preserve"> PAGEREF _Toc355250956 \h </w:instrText>
        </w:r>
        <w:r w:rsidRPr="00DC0AE4">
          <w:rPr>
            <w:noProof/>
            <w:webHidden/>
          </w:rPr>
        </w:r>
        <w:r w:rsidRPr="00DC0AE4">
          <w:rPr>
            <w:noProof/>
            <w:webHidden/>
          </w:rPr>
          <w:fldChar w:fldCharType="separate"/>
        </w:r>
        <w:r w:rsidR="001670EC">
          <w:rPr>
            <w:noProof/>
            <w:webHidden/>
          </w:rPr>
          <w:t>28</w:t>
        </w:r>
        <w:r w:rsidRPr="00DC0AE4">
          <w:rPr>
            <w:noProof/>
            <w:webHidden/>
          </w:rPr>
          <w:fldChar w:fldCharType="end"/>
        </w:r>
      </w:hyperlink>
    </w:p>
    <w:p w:rsidR="001670EC" w:rsidRPr="00DC0AE4" w:rsidRDefault="003D1A5F" w:rsidP="004B16E5">
      <w:pPr>
        <w:pStyle w:val="TOC2"/>
        <w:rPr>
          <w:noProof/>
        </w:rPr>
      </w:pPr>
      <w:hyperlink w:anchor="_Toc355250958" w:history="1">
        <w:r w:rsidR="001670EC" w:rsidRPr="00DC0AE4">
          <w:rPr>
            <w:rStyle w:val="Hyperlink"/>
            <w:noProof/>
            <w:color w:val="auto"/>
          </w:rPr>
          <w:t>Figure 5:  Poverty</w:t>
        </w:r>
        <w:r w:rsidR="001670EC">
          <w:rPr>
            <w:rStyle w:val="Hyperlink"/>
            <w:noProof/>
            <w:color w:val="auto"/>
          </w:rPr>
          <w:t xml:space="preserve"> and Medicaid Status</w:t>
        </w:r>
        <w:r w:rsidR="001670EC" w:rsidRPr="00DC0AE4">
          <w:rPr>
            <w:rStyle w:val="Hyperlink"/>
            <w:noProof/>
            <w:color w:val="auto"/>
          </w:rPr>
          <w:t>, Fulton County, 2010 – 2011</w:t>
        </w:r>
        <w:r w:rsidR="001670EC">
          <w:rPr>
            <w:noProof/>
            <w:webHidden/>
          </w:rPr>
          <w:t xml:space="preserve"> ……………………………………………….</w:t>
        </w:r>
        <w:r w:rsidRPr="00DC0AE4">
          <w:rPr>
            <w:noProof/>
            <w:webHidden/>
          </w:rPr>
          <w:fldChar w:fldCharType="begin"/>
        </w:r>
        <w:r w:rsidR="001670EC" w:rsidRPr="00DC0AE4">
          <w:rPr>
            <w:noProof/>
            <w:webHidden/>
          </w:rPr>
          <w:instrText xml:space="preserve"> PAGEREF _Toc355250958 \h </w:instrText>
        </w:r>
        <w:r w:rsidRPr="00DC0AE4">
          <w:rPr>
            <w:noProof/>
            <w:webHidden/>
          </w:rPr>
        </w:r>
        <w:r w:rsidRPr="00DC0AE4">
          <w:rPr>
            <w:noProof/>
            <w:webHidden/>
          </w:rPr>
          <w:fldChar w:fldCharType="separate"/>
        </w:r>
        <w:r w:rsidR="001670EC">
          <w:rPr>
            <w:noProof/>
            <w:webHidden/>
          </w:rPr>
          <w:t>29</w:t>
        </w:r>
        <w:r w:rsidRPr="00DC0AE4">
          <w:rPr>
            <w:noProof/>
            <w:webHidden/>
          </w:rPr>
          <w:fldChar w:fldCharType="end"/>
        </w:r>
      </w:hyperlink>
    </w:p>
    <w:p w:rsidR="001670EC" w:rsidRPr="00DC0AE4" w:rsidRDefault="003D1A5F" w:rsidP="004B16E5">
      <w:pPr>
        <w:pStyle w:val="TOC2"/>
        <w:rPr>
          <w:noProof/>
        </w:rPr>
      </w:pPr>
      <w:hyperlink w:anchor="_Toc355250959" w:history="1">
        <w:r w:rsidR="001670EC" w:rsidRPr="00DC0AE4">
          <w:rPr>
            <w:rStyle w:val="Hyperlink"/>
            <w:noProof/>
            <w:color w:val="auto"/>
          </w:rPr>
          <w:t xml:space="preserve">Figure 6:  Population Characteristics, Fulton </w:t>
        </w:r>
        <w:r w:rsidR="001670EC">
          <w:rPr>
            <w:rStyle w:val="Hyperlink"/>
            <w:noProof/>
            <w:color w:val="auto"/>
          </w:rPr>
          <w:t>County</w:t>
        </w:r>
        <w:r w:rsidR="001670EC" w:rsidRPr="00DC0AE4">
          <w:rPr>
            <w:rStyle w:val="Hyperlink"/>
            <w:noProof/>
            <w:color w:val="auto"/>
          </w:rPr>
          <w:t xml:space="preserve">, </w:t>
        </w:r>
        <w:r w:rsidR="001670EC">
          <w:rPr>
            <w:rStyle w:val="Hyperlink"/>
            <w:noProof/>
            <w:color w:val="auto"/>
          </w:rPr>
          <w:t>Montgomery County, ARHN and NYS …………….</w:t>
        </w:r>
        <w:r w:rsidR="004B16E5">
          <w:rPr>
            <w:rStyle w:val="Hyperlink"/>
            <w:noProof/>
            <w:color w:val="auto"/>
          </w:rPr>
          <w:t>.</w:t>
        </w:r>
        <w:r w:rsidRPr="00DC0AE4">
          <w:rPr>
            <w:noProof/>
            <w:webHidden/>
          </w:rPr>
          <w:fldChar w:fldCharType="begin"/>
        </w:r>
        <w:r w:rsidR="001670EC" w:rsidRPr="00DC0AE4">
          <w:rPr>
            <w:noProof/>
            <w:webHidden/>
          </w:rPr>
          <w:instrText xml:space="preserve"> PAGEREF _Toc355250959 \h </w:instrText>
        </w:r>
        <w:r w:rsidRPr="00DC0AE4">
          <w:rPr>
            <w:noProof/>
            <w:webHidden/>
          </w:rPr>
        </w:r>
        <w:r w:rsidRPr="00DC0AE4">
          <w:rPr>
            <w:noProof/>
            <w:webHidden/>
          </w:rPr>
          <w:fldChar w:fldCharType="separate"/>
        </w:r>
        <w:r w:rsidR="001670EC">
          <w:rPr>
            <w:noProof/>
            <w:webHidden/>
          </w:rPr>
          <w:t>29</w:t>
        </w:r>
        <w:r w:rsidRPr="00DC0AE4">
          <w:rPr>
            <w:noProof/>
            <w:webHidden/>
          </w:rPr>
          <w:fldChar w:fldCharType="end"/>
        </w:r>
      </w:hyperlink>
    </w:p>
    <w:p w:rsidR="001670EC" w:rsidRDefault="003D1A5F" w:rsidP="004B16E5">
      <w:pPr>
        <w:pStyle w:val="TOC2"/>
      </w:pPr>
      <w:hyperlink w:anchor="_Toc355250960" w:history="1">
        <w:r w:rsidR="001670EC" w:rsidRPr="00DC0AE4">
          <w:rPr>
            <w:rStyle w:val="Hyperlink"/>
            <w:noProof/>
            <w:color w:val="auto"/>
          </w:rPr>
          <w:t>Figure 7</w:t>
        </w:r>
        <w:r w:rsidR="001670EC">
          <w:rPr>
            <w:rStyle w:val="Hyperlink"/>
            <w:noProof/>
            <w:color w:val="auto"/>
          </w:rPr>
          <w:t>a</w:t>
        </w:r>
        <w:r w:rsidR="001670EC" w:rsidRPr="00DC0AE4">
          <w:rPr>
            <w:rStyle w:val="Hyperlink"/>
            <w:noProof/>
            <w:color w:val="auto"/>
          </w:rPr>
          <w:t xml:space="preserve">:  Level of Education, Fulton </w:t>
        </w:r>
        <w:r w:rsidR="001670EC">
          <w:rPr>
            <w:rStyle w:val="Hyperlink"/>
            <w:noProof/>
            <w:color w:val="auto"/>
          </w:rPr>
          <w:t>County, Montgomery County, ARHN and NYS</w:t>
        </w:r>
        <w:r w:rsidR="001670EC">
          <w:rPr>
            <w:noProof/>
            <w:webHidden/>
          </w:rPr>
          <w:t xml:space="preserve"> ………………………</w:t>
        </w:r>
        <w:r w:rsidR="004B16E5">
          <w:rPr>
            <w:noProof/>
            <w:webHidden/>
          </w:rPr>
          <w:t>.</w:t>
        </w:r>
        <w:r w:rsidR="001670EC">
          <w:rPr>
            <w:noProof/>
            <w:webHidden/>
          </w:rPr>
          <w:t>.</w:t>
        </w:r>
        <w:r w:rsidRPr="00DC0AE4">
          <w:rPr>
            <w:noProof/>
            <w:webHidden/>
          </w:rPr>
          <w:fldChar w:fldCharType="begin"/>
        </w:r>
        <w:r w:rsidR="001670EC" w:rsidRPr="00DC0AE4">
          <w:rPr>
            <w:noProof/>
            <w:webHidden/>
          </w:rPr>
          <w:instrText xml:space="preserve"> PAGEREF _Toc355250960 \h </w:instrText>
        </w:r>
        <w:r w:rsidRPr="00DC0AE4">
          <w:rPr>
            <w:noProof/>
            <w:webHidden/>
          </w:rPr>
        </w:r>
        <w:r w:rsidRPr="00DC0AE4">
          <w:rPr>
            <w:noProof/>
            <w:webHidden/>
          </w:rPr>
          <w:fldChar w:fldCharType="separate"/>
        </w:r>
        <w:r w:rsidR="001670EC">
          <w:rPr>
            <w:noProof/>
            <w:webHidden/>
          </w:rPr>
          <w:t>30</w:t>
        </w:r>
        <w:r w:rsidRPr="00DC0AE4">
          <w:rPr>
            <w:noProof/>
            <w:webHidden/>
          </w:rPr>
          <w:fldChar w:fldCharType="end"/>
        </w:r>
      </w:hyperlink>
    </w:p>
    <w:p w:rsidR="001670EC" w:rsidRPr="00BD09DE" w:rsidRDefault="001670EC" w:rsidP="0075117C">
      <w:pPr>
        <w:ind w:firstLine="220"/>
      </w:pPr>
      <w:r>
        <w:t>Figure 7b:  Vulnerable Population Area…………………………………………………………………………………………</w:t>
      </w:r>
      <w:r w:rsidR="004B16E5">
        <w:t>.</w:t>
      </w:r>
      <w:r>
        <w:t>…</w:t>
      </w:r>
      <w:r w:rsidR="004B16E5">
        <w:t>.</w:t>
      </w:r>
      <w:r>
        <w:t>31</w:t>
      </w:r>
    </w:p>
    <w:p w:rsidR="001670EC" w:rsidRDefault="003D1A5F" w:rsidP="004B16E5">
      <w:pPr>
        <w:pStyle w:val="TOC2"/>
      </w:pPr>
      <w:hyperlink w:anchor="_Toc355250961" w:history="1">
        <w:r w:rsidR="001670EC" w:rsidRPr="00DC0AE4">
          <w:rPr>
            <w:rStyle w:val="Hyperlink"/>
            <w:noProof/>
            <w:color w:val="auto"/>
          </w:rPr>
          <w:t>Figure 8</w:t>
        </w:r>
        <w:r w:rsidR="001670EC">
          <w:rPr>
            <w:rStyle w:val="Hyperlink"/>
            <w:noProof/>
            <w:color w:val="auto"/>
          </w:rPr>
          <w:t>a</w:t>
        </w:r>
        <w:r w:rsidR="001670EC" w:rsidRPr="00DC0AE4">
          <w:rPr>
            <w:rStyle w:val="Hyperlink"/>
            <w:noProof/>
            <w:color w:val="auto"/>
          </w:rPr>
          <w:t>:  Percentage of Households with Monthly Housing Costs at least 30% of Total Household Income</w:t>
        </w:r>
        <w:r w:rsidR="001670EC">
          <w:rPr>
            <w:noProof/>
            <w:webHidden/>
          </w:rPr>
          <w:t xml:space="preserve"> ……………………………………………………………………………………………………………………………………………</w:t>
        </w:r>
        <w:r w:rsidR="004B16E5">
          <w:rPr>
            <w:noProof/>
            <w:webHidden/>
          </w:rPr>
          <w:t>..</w:t>
        </w:r>
        <w:r w:rsidRPr="00DC0AE4">
          <w:rPr>
            <w:noProof/>
            <w:webHidden/>
          </w:rPr>
          <w:fldChar w:fldCharType="begin"/>
        </w:r>
        <w:r w:rsidR="001670EC" w:rsidRPr="00DC0AE4">
          <w:rPr>
            <w:noProof/>
            <w:webHidden/>
          </w:rPr>
          <w:instrText xml:space="preserve"> PAGEREF _Toc355250961 \h </w:instrText>
        </w:r>
        <w:r w:rsidRPr="00DC0AE4">
          <w:rPr>
            <w:noProof/>
            <w:webHidden/>
          </w:rPr>
        </w:r>
        <w:r w:rsidRPr="00DC0AE4">
          <w:rPr>
            <w:noProof/>
            <w:webHidden/>
          </w:rPr>
          <w:fldChar w:fldCharType="separate"/>
        </w:r>
        <w:r w:rsidR="001670EC">
          <w:rPr>
            <w:noProof/>
            <w:webHidden/>
          </w:rPr>
          <w:t>32</w:t>
        </w:r>
        <w:r w:rsidRPr="00DC0AE4">
          <w:rPr>
            <w:noProof/>
            <w:webHidden/>
          </w:rPr>
          <w:fldChar w:fldCharType="end"/>
        </w:r>
      </w:hyperlink>
    </w:p>
    <w:p w:rsidR="001670EC" w:rsidRDefault="001670EC" w:rsidP="0075117C">
      <w:pPr>
        <w:ind w:firstLine="220"/>
      </w:pPr>
      <w:r>
        <w:t>Figure 8b:  Housing Age, Fulton County…………………………………………………………………………………………</w:t>
      </w:r>
      <w:r w:rsidR="004B16E5">
        <w:t>….</w:t>
      </w:r>
      <w:r>
        <w:t>32</w:t>
      </w:r>
    </w:p>
    <w:p w:rsidR="001670EC" w:rsidRPr="0075117C" w:rsidRDefault="001670EC" w:rsidP="0075117C">
      <w:pPr>
        <w:ind w:firstLine="220"/>
      </w:pPr>
      <w:r>
        <w:t>Figure 8c:  Housing Values 2010………………………………………………………………………………………………………..32</w:t>
      </w:r>
    </w:p>
    <w:p w:rsidR="001670EC" w:rsidRPr="00DC0AE4" w:rsidRDefault="003D1A5F" w:rsidP="004B16E5">
      <w:pPr>
        <w:pStyle w:val="TOC2"/>
        <w:rPr>
          <w:noProof/>
        </w:rPr>
      </w:pPr>
      <w:hyperlink w:anchor="_Toc355250962" w:history="1">
        <w:r w:rsidR="001670EC" w:rsidRPr="00DC0AE4">
          <w:rPr>
            <w:rStyle w:val="Hyperlink"/>
            <w:noProof/>
            <w:color w:val="auto"/>
          </w:rPr>
          <w:t>Figure 9:  Change in Percentage of Population who were Uninsured by Gender &amp; Age Group,2010-2011 Fulton County</w:t>
        </w:r>
        <w:r w:rsidR="001670EC">
          <w:rPr>
            <w:noProof/>
            <w:webHidden/>
          </w:rPr>
          <w:t xml:space="preserve"> ………………………………………………………………………………………………………</w:t>
        </w:r>
        <w:r w:rsidR="004B16E5">
          <w:rPr>
            <w:noProof/>
            <w:webHidden/>
          </w:rPr>
          <w:t>………………..</w:t>
        </w:r>
        <w:r w:rsidR="001670EC">
          <w:rPr>
            <w:noProof/>
            <w:webHidden/>
          </w:rPr>
          <w:t>.</w:t>
        </w:r>
        <w:r w:rsidRPr="00DC0AE4">
          <w:rPr>
            <w:noProof/>
            <w:webHidden/>
          </w:rPr>
          <w:fldChar w:fldCharType="begin"/>
        </w:r>
        <w:r w:rsidR="001670EC" w:rsidRPr="00DC0AE4">
          <w:rPr>
            <w:noProof/>
            <w:webHidden/>
          </w:rPr>
          <w:instrText xml:space="preserve"> PAGEREF _Toc355250962 \h </w:instrText>
        </w:r>
        <w:r w:rsidRPr="00DC0AE4">
          <w:rPr>
            <w:noProof/>
            <w:webHidden/>
          </w:rPr>
        </w:r>
        <w:r w:rsidRPr="00DC0AE4">
          <w:rPr>
            <w:noProof/>
            <w:webHidden/>
          </w:rPr>
          <w:fldChar w:fldCharType="separate"/>
        </w:r>
        <w:r w:rsidR="001670EC">
          <w:rPr>
            <w:noProof/>
            <w:webHidden/>
          </w:rPr>
          <w:t>33</w:t>
        </w:r>
        <w:r w:rsidRPr="00DC0AE4">
          <w:rPr>
            <w:noProof/>
            <w:webHidden/>
          </w:rPr>
          <w:fldChar w:fldCharType="end"/>
        </w:r>
      </w:hyperlink>
      <w:r w:rsidR="004B16E5" w:rsidRPr="00DC0AE4">
        <w:rPr>
          <w:noProof/>
        </w:rPr>
        <w:t xml:space="preserve"> </w:t>
      </w:r>
    </w:p>
    <w:p w:rsidR="001670EC" w:rsidRPr="00DC0AE4" w:rsidRDefault="003D1A5F" w:rsidP="004B16E5">
      <w:pPr>
        <w:pStyle w:val="TOC2"/>
        <w:rPr>
          <w:noProof/>
        </w:rPr>
      </w:pPr>
      <w:hyperlink w:anchor="_Toc355250965" w:history="1">
        <w:r w:rsidR="001670EC" w:rsidRPr="00DC0AE4">
          <w:rPr>
            <w:rStyle w:val="Hyperlink"/>
            <w:noProof/>
            <w:color w:val="auto"/>
          </w:rPr>
          <w:t>Figure 1</w:t>
        </w:r>
        <w:r w:rsidR="001670EC">
          <w:rPr>
            <w:rStyle w:val="Hyperlink"/>
            <w:noProof/>
            <w:color w:val="auto"/>
          </w:rPr>
          <w:t>0</w:t>
        </w:r>
        <w:r w:rsidR="001670EC" w:rsidRPr="00DC0AE4">
          <w:rPr>
            <w:rStyle w:val="Hyperlink"/>
            <w:noProof/>
            <w:color w:val="auto"/>
          </w:rPr>
          <w:t>:  Trends for Asthma</w:t>
        </w:r>
        <w:r w:rsidR="001670EC">
          <w:rPr>
            <w:noProof/>
            <w:webHidden/>
          </w:rPr>
          <w:t xml:space="preserve"> ………………………………………………………………………………………………………</w:t>
        </w:r>
        <w:r w:rsidR="004B16E5">
          <w:rPr>
            <w:noProof/>
            <w:webHidden/>
          </w:rPr>
          <w:t>…</w:t>
        </w:r>
        <w:r w:rsidR="001670EC">
          <w:rPr>
            <w:noProof/>
            <w:webHidden/>
          </w:rPr>
          <w:t>.</w:t>
        </w:r>
        <w:r w:rsidRPr="00DC0AE4">
          <w:rPr>
            <w:noProof/>
            <w:webHidden/>
          </w:rPr>
          <w:fldChar w:fldCharType="begin"/>
        </w:r>
        <w:r w:rsidR="001670EC" w:rsidRPr="00DC0AE4">
          <w:rPr>
            <w:noProof/>
            <w:webHidden/>
          </w:rPr>
          <w:instrText xml:space="preserve"> PAGEREF _Toc355250965 \h </w:instrText>
        </w:r>
        <w:r w:rsidRPr="00DC0AE4">
          <w:rPr>
            <w:noProof/>
            <w:webHidden/>
          </w:rPr>
        </w:r>
        <w:r w:rsidRPr="00DC0AE4">
          <w:rPr>
            <w:noProof/>
            <w:webHidden/>
          </w:rPr>
          <w:fldChar w:fldCharType="separate"/>
        </w:r>
        <w:r w:rsidR="001670EC">
          <w:rPr>
            <w:noProof/>
            <w:webHidden/>
          </w:rPr>
          <w:t>34</w:t>
        </w:r>
        <w:r w:rsidRPr="00DC0AE4">
          <w:rPr>
            <w:noProof/>
            <w:webHidden/>
          </w:rPr>
          <w:fldChar w:fldCharType="end"/>
        </w:r>
      </w:hyperlink>
    </w:p>
    <w:p w:rsidR="001670EC" w:rsidRPr="00DC0AE4" w:rsidRDefault="003D1A5F" w:rsidP="004B16E5">
      <w:pPr>
        <w:pStyle w:val="TOC2"/>
        <w:rPr>
          <w:noProof/>
        </w:rPr>
      </w:pPr>
      <w:hyperlink w:anchor="_Toc355250966" w:history="1">
        <w:r w:rsidR="001670EC" w:rsidRPr="00DC0AE4">
          <w:rPr>
            <w:rStyle w:val="Hyperlink"/>
            <w:noProof/>
            <w:color w:val="auto"/>
          </w:rPr>
          <w:t>Figure 1</w:t>
        </w:r>
        <w:r w:rsidR="001670EC">
          <w:rPr>
            <w:rStyle w:val="Hyperlink"/>
            <w:noProof/>
            <w:color w:val="auto"/>
          </w:rPr>
          <w:t>1</w:t>
        </w:r>
        <w:r w:rsidR="001670EC" w:rsidRPr="00DC0AE4">
          <w:rPr>
            <w:rStyle w:val="Hyperlink"/>
            <w:noProof/>
            <w:color w:val="auto"/>
          </w:rPr>
          <w:t>:  Trends for Cancer</w:t>
        </w:r>
        <w:r w:rsidR="001670EC">
          <w:rPr>
            <w:noProof/>
            <w:webHidden/>
          </w:rPr>
          <w:t xml:space="preserve"> …………………………………………………………………………………………………………</w:t>
        </w:r>
        <w:r w:rsidR="004B16E5">
          <w:rPr>
            <w:noProof/>
            <w:webHidden/>
          </w:rPr>
          <w:t>.</w:t>
        </w:r>
        <w:r w:rsidR="001670EC">
          <w:rPr>
            <w:noProof/>
            <w:webHidden/>
          </w:rPr>
          <w:t>.</w:t>
        </w:r>
        <w:r w:rsidRPr="00DC0AE4">
          <w:rPr>
            <w:noProof/>
            <w:webHidden/>
          </w:rPr>
          <w:fldChar w:fldCharType="begin"/>
        </w:r>
        <w:r w:rsidR="001670EC" w:rsidRPr="00DC0AE4">
          <w:rPr>
            <w:noProof/>
            <w:webHidden/>
          </w:rPr>
          <w:instrText xml:space="preserve"> PAGEREF _Toc355250966 \h </w:instrText>
        </w:r>
        <w:r w:rsidRPr="00DC0AE4">
          <w:rPr>
            <w:noProof/>
            <w:webHidden/>
          </w:rPr>
        </w:r>
        <w:r w:rsidRPr="00DC0AE4">
          <w:rPr>
            <w:noProof/>
            <w:webHidden/>
          </w:rPr>
          <w:fldChar w:fldCharType="separate"/>
        </w:r>
        <w:r w:rsidR="001670EC">
          <w:rPr>
            <w:noProof/>
            <w:webHidden/>
          </w:rPr>
          <w:t>34</w:t>
        </w:r>
        <w:r w:rsidRPr="00DC0AE4">
          <w:rPr>
            <w:noProof/>
            <w:webHidden/>
          </w:rPr>
          <w:fldChar w:fldCharType="end"/>
        </w:r>
      </w:hyperlink>
    </w:p>
    <w:p w:rsidR="001670EC" w:rsidRPr="00DC0AE4" w:rsidRDefault="003D1A5F" w:rsidP="004B16E5">
      <w:pPr>
        <w:pStyle w:val="TOC2"/>
        <w:rPr>
          <w:noProof/>
        </w:rPr>
      </w:pPr>
      <w:hyperlink w:anchor="_Toc355250967" w:history="1">
        <w:r w:rsidR="001670EC" w:rsidRPr="00DC0AE4">
          <w:rPr>
            <w:rStyle w:val="Hyperlink"/>
            <w:noProof/>
            <w:color w:val="auto"/>
          </w:rPr>
          <w:t>Figure 1</w:t>
        </w:r>
        <w:r w:rsidR="001670EC">
          <w:rPr>
            <w:rStyle w:val="Hyperlink"/>
            <w:noProof/>
            <w:color w:val="auto"/>
          </w:rPr>
          <w:t>2</w:t>
        </w:r>
        <w:r w:rsidR="001670EC" w:rsidRPr="00DC0AE4">
          <w:rPr>
            <w:rStyle w:val="Hyperlink"/>
            <w:noProof/>
            <w:color w:val="auto"/>
          </w:rPr>
          <w:t>:  Trends for Child Health</w:t>
        </w:r>
        <w:r w:rsidR="001670EC" w:rsidRPr="00DC0AE4">
          <w:rPr>
            <w:noProof/>
            <w:webHidden/>
          </w:rPr>
          <w:tab/>
        </w:r>
        <w:r w:rsidRPr="00DC0AE4">
          <w:rPr>
            <w:noProof/>
            <w:webHidden/>
          </w:rPr>
          <w:fldChar w:fldCharType="begin"/>
        </w:r>
        <w:r w:rsidR="001670EC" w:rsidRPr="00DC0AE4">
          <w:rPr>
            <w:noProof/>
            <w:webHidden/>
          </w:rPr>
          <w:instrText xml:space="preserve"> PAGEREF _Toc355250967 \h </w:instrText>
        </w:r>
        <w:r w:rsidRPr="00DC0AE4">
          <w:rPr>
            <w:noProof/>
            <w:webHidden/>
          </w:rPr>
        </w:r>
        <w:r w:rsidRPr="00DC0AE4">
          <w:rPr>
            <w:noProof/>
            <w:webHidden/>
          </w:rPr>
          <w:fldChar w:fldCharType="separate"/>
        </w:r>
        <w:r w:rsidR="001670EC">
          <w:rPr>
            <w:noProof/>
            <w:webHidden/>
          </w:rPr>
          <w:t>35</w:t>
        </w:r>
        <w:r w:rsidRPr="00DC0AE4">
          <w:rPr>
            <w:noProof/>
            <w:webHidden/>
          </w:rPr>
          <w:fldChar w:fldCharType="end"/>
        </w:r>
      </w:hyperlink>
    </w:p>
    <w:p w:rsidR="001670EC" w:rsidRPr="00DC0AE4" w:rsidRDefault="003D1A5F" w:rsidP="004B16E5">
      <w:pPr>
        <w:pStyle w:val="TOC2"/>
        <w:rPr>
          <w:noProof/>
        </w:rPr>
      </w:pPr>
      <w:hyperlink w:anchor="_Toc355250968" w:history="1">
        <w:r w:rsidR="001670EC" w:rsidRPr="00DC0AE4">
          <w:rPr>
            <w:rStyle w:val="Hyperlink"/>
            <w:noProof/>
            <w:color w:val="auto"/>
          </w:rPr>
          <w:t>Figure 1</w:t>
        </w:r>
        <w:r w:rsidR="001670EC">
          <w:rPr>
            <w:rStyle w:val="Hyperlink"/>
            <w:noProof/>
            <w:color w:val="auto"/>
          </w:rPr>
          <w:t>3</w:t>
        </w:r>
        <w:r w:rsidR="001670EC" w:rsidRPr="00DC0AE4">
          <w:rPr>
            <w:rStyle w:val="Hyperlink"/>
            <w:noProof/>
            <w:color w:val="auto"/>
          </w:rPr>
          <w:t>:  Trends for Diabetes</w:t>
        </w:r>
        <w:r w:rsidR="001670EC" w:rsidRPr="00DC0AE4">
          <w:rPr>
            <w:noProof/>
            <w:webHidden/>
          </w:rPr>
          <w:tab/>
        </w:r>
        <w:r w:rsidRPr="00DC0AE4">
          <w:rPr>
            <w:noProof/>
            <w:webHidden/>
          </w:rPr>
          <w:fldChar w:fldCharType="begin"/>
        </w:r>
        <w:r w:rsidR="001670EC" w:rsidRPr="00DC0AE4">
          <w:rPr>
            <w:noProof/>
            <w:webHidden/>
          </w:rPr>
          <w:instrText xml:space="preserve"> PAGEREF _Toc355250968 \h </w:instrText>
        </w:r>
        <w:r w:rsidRPr="00DC0AE4">
          <w:rPr>
            <w:noProof/>
            <w:webHidden/>
          </w:rPr>
        </w:r>
        <w:r w:rsidRPr="00DC0AE4">
          <w:rPr>
            <w:noProof/>
            <w:webHidden/>
          </w:rPr>
          <w:fldChar w:fldCharType="separate"/>
        </w:r>
        <w:r w:rsidR="001670EC">
          <w:rPr>
            <w:noProof/>
            <w:webHidden/>
          </w:rPr>
          <w:t>35</w:t>
        </w:r>
        <w:r w:rsidRPr="00DC0AE4">
          <w:rPr>
            <w:noProof/>
            <w:webHidden/>
          </w:rPr>
          <w:fldChar w:fldCharType="end"/>
        </w:r>
      </w:hyperlink>
    </w:p>
    <w:p w:rsidR="001670EC" w:rsidRPr="00DC0AE4" w:rsidRDefault="003D1A5F" w:rsidP="004B16E5">
      <w:pPr>
        <w:pStyle w:val="TOC2"/>
        <w:rPr>
          <w:noProof/>
        </w:rPr>
      </w:pPr>
      <w:hyperlink w:anchor="_Toc355250969" w:history="1">
        <w:r w:rsidR="001670EC" w:rsidRPr="00DC0AE4">
          <w:rPr>
            <w:rStyle w:val="Hyperlink"/>
            <w:noProof/>
            <w:color w:val="auto"/>
          </w:rPr>
          <w:t>Figure 1</w:t>
        </w:r>
        <w:r w:rsidR="001670EC">
          <w:rPr>
            <w:rStyle w:val="Hyperlink"/>
            <w:noProof/>
            <w:color w:val="auto"/>
          </w:rPr>
          <w:t>4</w:t>
        </w:r>
        <w:r w:rsidR="001670EC" w:rsidRPr="00DC0AE4">
          <w:rPr>
            <w:rStyle w:val="Hyperlink"/>
            <w:noProof/>
            <w:color w:val="auto"/>
          </w:rPr>
          <w:t>:  Trends for Heart Disease and Stroke</w:t>
        </w:r>
        <w:r w:rsidR="001670EC" w:rsidRPr="00DC0AE4">
          <w:rPr>
            <w:noProof/>
            <w:webHidden/>
          </w:rPr>
          <w:tab/>
        </w:r>
        <w:r w:rsidRPr="00DC0AE4">
          <w:rPr>
            <w:noProof/>
            <w:webHidden/>
          </w:rPr>
          <w:fldChar w:fldCharType="begin"/>
        </w:r>
        <w:r w:rsidR="001670EC" w:rsidRPr="00DC0AE4">
          <w:rPr>
            <w:noProof/>
            <w:webHidden/>
          </w:rPr>
          <w:instrText xml:space="preserve"> PAGEREF _Toc355250969 \h </w:instrText>
        </w:r>
        <w:r w:rsidRPr="00DC0AE4">
          <w:rPr>
            <w:noProof/>
            <w:webHidden/>
          </w:rPr>
        </w:r>
        <w:r w:rsidRPr="00DC0AE4">
          <w:rPr>
            <w:noProof/>
            <w:webHidden/>
          </w:rPr>
          <w:fldChar w:fldCharType="separate"/>
        </w:r>
        <w:r w:rsidR="001670EC">
          <w:rPr>
            <w:noProof/>
            <w:webHidden/>
          </w:rPr>
          <w:t>36</w:t>
        </w:r>
        <w:r w:rsidRPr="00DC0AE4">
          <w:rPr>
            <w:noProof/>
            <w:webHidden/>
          </w:rPr>
          <w:fldChar w:fldCharType="end"/>
        </w:r>
      </w:hyperlink>
    </w:p>
    <w:p w:rsidR="001670EC" w:rsidRPr="00DC0AE4" w:rsidRDefault="003D1A5F" w:rsidP="004B16E5">
      <w:pPr>
        <w:pStyle w:val="TOC2"/>
        <w:rPr>
          <w:noProof/>
        </w:rPr>
      </w:pPr>
      <w:hyperlink w:anchor="_Toc355250970" w:history="1">
        <w:r w:rsidR="001670EC" w:rsidRPr="00DC0AE4">
          <w:rPr>
            <w:rStyle w:val="Hyperlink"/>
            <w:noProof/>
            <w:color w:val="auto"/>
          </w:rPr>
          <w:t>Figure 1</w:t>
        </w:r>
        <w:r w:rsidR="001670EC">
          <w:rPr>
            <w:rStyle w:val="Hyperlink"/>
            <w:noProof/>
            <w:color w:val="auto"/>
          </w:rPr>
          <w:t>5</w:t>
        </w:r>
        <w:r w:rsidR="001670EC" w:rsidRPr="00DC0AE4">
          <w:rPr>
            <w:rStyle w:val="Hyperlink"/>
            <w:noProof/>
            <w:color w:val="auto"/>
          </w:rPr>
          <w:t>:  Trends for Injuries</w:t>
        </w:r>
        <w:r w:rsidR="001670EC" w:rsidRPr="00DC0AE4">
          <w:rPr>
            <w:noProof/>
            <w:webHidden/>
          </w:rPr>
          <w:tab/>
        </w:r>
        <w:r w:rsidRPr="00DC0AE4">
          <w:rPr>
            <w:noProof/>
            <w:webHidden/>
          </w:rPr>
          <w:fldChar w:fldCharType="begin"/>
        </w:r>
        <w:r w:rsidR="001670EC" w:rsidRPr="00DC0AE4">
          <w:rPr>
            <w:noProof/>
            <w:webHidden/>
          </w:rPr>
          <w:instrText xml:space="preserve"> PAGEREF _Toc355250970 \h </w:instrText>
        </w:r>
        <w:r w:rsidRPr="00DC0AE4">
          <w:rPr>
            <w:noProof/>
            <w:webHidden/>
          </w:rPr>
        </w:r>
        <w:r w:rsidRPr="00DC0AE4">
          <w:rPr>
            <w:noProof/>
            <w:webHidden/>
          </w:rPr>
          <w:fldChar w:fldCharType="separate"/>
        </w:r>
        <w:r w:rsidR="001670EC">
          <w:rPr>
            <w:noProof/>
            <w:webHidden/>
          </w:rPr>
          <w:t>36</w:t>
        </w:r>
        <w:r w:rsidRPr="00DC0AE4">
          <w:rPr>
            <w:noProof/>
            <w:webHidden/>
          </w:rPr>
          <w:fldChar w:fldCharType="end"/>
        </w:r>
      </w:hyperlink>
    </w:p>
    <w:p w:rsidR="001670EC" w:rsidRPr="00DC0AE4" w:rsidRDefault="003D1A5F" w:rsidP="004B16E5">
      <w:pPr>
        <w:pStyle w:val="TOC2"/>
        <w:rPr>
          <w:noProof/>
        </w:rPr>
      </w:pPr>
      <w:hyperlink w:anchor="_Toc355250971" w:history="1">
        <w:r w:rsidR="001670EC" w:rsidRPr="00DC0AE4">
          <w:rPr>
            <w:rStyle w:val="Hyperlink"/>
            <w:noProof/>
            <w:color w:val="auto"/>
          </w:rPr>
          <w:t>Figure 1</w:t>
        </w:r>
        <w:r w:rsidR="001670EC">
          <w:rPr>
            <w:rStyle w:val="Hyperlink"/>
            <w:noProof/>
            <w:color w:val="auto"/>
          </w:rPr>
          <w:t>6</w:t>
        </w:r>
        <w:r w:rsidR="001670EC" w:rsidRPr="00DC0AE4">
          <w:rPr>
            <w:rStyle w:val="Hyperlink"/>
            <w:noProof/>
            <w:color w:val="auto"/>
          </w:rPr>
          <w:t>:  Trends for Mental Health</w:t>
        </w:r>
        <w:r w:rsidR="001670EC" w:rsidRPr="00DC0AE4">
          <w:rPr>
            <w:noProof/>
            <w:webHidden/>
          </w:rPr>
          <w:tab/>
        </w:r>
        <w:r w:rsidRPr="00DC0AE4">
          <w:rPr>
            <w:noProof/>
            <w:webHidden/>
          </w:rPr>
          <w:fldChar w:fldCharType="begin"/>
        </w:r>
        <w:r w:rsidR="001670EC" w:rsidRPr="00DC0AE4">
          <w:rPr>
            <w:noProof/>
            <w:webHidden/>
          </w:rPr>
          <w:instrText xml:space="preserve"> PAGEREF _Toc355250971 \h </w:instrText>
        </w:r>
        <w:r w:rsidRPr="00DC0AE4">
          <w:rPr>
            <w:noProof/>
            <w:webHidden/>
          </w:rPr>
        </w:r>
        <w:r w:rsidRPr="00DC0AE4">
          <w:rPr>
            <w:noProof/>
            <w:webHidden/>
          </w:rPr>
          <w:fldChar w:fldCharType="separate"/>
        </w:r>
        <w:r w:rsidR="001670EC">
          <w:rPr>
            <w:noProof/>
            <w:webHidden/>
          </w:rPr>
          <w:t>37</w:t>
        </w:r>
        <w:r w:rsidRPr="00DC0AE4">
          <w:rPr>
            <w:noProof/>
            <w:webHidden/>
          </w:rPr>
          <w:fldChar w:fldCharType="end"/>
        </w:r>
      </w:hyperlink>
    </w:p>
    <w:p w:rsidR="001670EC" w:rsidRPr="00DC0AE4" w:rsidRDefault="003D1A5F" w:rsidP="004B16E5">
      <w:pPr>
        <w:pStyle w:val="TOC2"/>
        <w:rPr>
          <w:noProof/>
        </w:rPr>
      </w:pPr>
      <w:hyperlink w:anchor="_Toc355250972" w:history="1">
        <w:r w:rsidR="001670EC" w:rsidRPr="00DC0AE4">
          <w:rPr>
            <w:rStyle w:val="Hyperlink"/>
            <w:noProof/>
            <w:color w:val="auto"/>
          </w:rPr>
          <w:t xml:space="preserve">Figure </w:t>
        </w:r>
        <w:r w:rsidR="001670EC">
          <w:rPr>
            <w:rStyle w:val="Hyperlink"/>
            <w:noProof/>
            <w:color w:val="auto"/>
          </w:rPr>
          <w:t>17</w:t>
        </w:r>
        <w:r w:rsidR="001670EC" w:rsidRPr="00DC0AE4">
          <w:rPr>
            <w:rStyle w:val="Hyperlink"/>
            <w:noProof/>
            <w:color w:val="auto"/>
          </w:rPr>
          <w:t>:  Trends for Substance Abuse</w:t>
        </w:r>
        <w:r w:rsidR="001670EC" w:rsidRPr="00DC0AE4">
          <w:rPr>
            <w:noProof/>
            <w:webHidden/>
          </w:rPr>
          <w:tab/>
        </w:r>
        <w:r w:rsidRPr="00DC0AE4">
          <w:rPr>
            <w:noProof/>
            <w:webHidden/>
          </w:rPr>
          <w:fldChar w:fldCharType="begin"/>
        </w:r>
        <w:r w:rsidR="001670EC" w:rsidRPr="00DC0AE4">
          <w:rPr>
            <w:noProof/>
            <w:webHidden/>
          </w:rPr>
          <w:instrText xml:space="preserve"> PAGEREF _Toc355250972 \h </w:instrText>
        </w:r>
        <w:r w:rsidRPr="00DC0AE4">
          <w:rPr>
            <w:noProof/>
            <w:webHidden/>
          </w:rPr>
        </w:r>
        <w:r w:rsidRPr="00DC0AE4">
          <w:rPr>
            <w:noProof/>
            <w:webHidden/>
          </w:rPr>
          <w:fldChar w:fldCharType="separate"/>
        </w:r>
        <w:r w:rsidR="001670EC">
          <w:rPr>
            <w:noProof/>
            <w:webHidden/>
          </w:rPr>
          <w:t>37</w:t>
        </w:r>
        <w:r w:rsidRPr="00DC0AE4">
          <w:rPr>
            <w:noProof/>
            <w:webHidden/>
          </w:rPr>
          <w:fldChar w:fldCharType="end"/>
        </w:r>
      </w:hyperlink>
    </w:p>
    <w:p w:rsidR="001670EC" w:rsidRPr="00DC0AE4" w:rsidRDefault="003D1A5F" w:rsidP="004B16E5">
      <w:pPr>
        <w:pStyle w:val="TOC2"/>
        <w:rPr>
          <w:noProof/>
        </w:rPr>
      </w:pPr>
      <w:hyperlink w:anchor="_Toc355250973" w:history="1">
        <w:r w:rsidR="001670EC" w:rsidRPr="00DC0AE4">
          <w:rPr>
            <w:rStyle w:val="Hyperlink"/>
            <w:noProof/>
            <w:color w:val="auto"/>
          </w:rPr>
          <w:t xml:space="preserve">Figure </w:t>
        </w:r>
        <w:r w:rsidR="001670EC">
          <w:rPr>
            <w:rStyle w:val="Hyperlink"/>
            <w:noProof/>
            <w:color w:val="auto"/>
          </w:rPr>
          <w:t>18</w:t>
        </w:r>
        <w:r w:rsidR="001670EC" w:rsidRPr="00DC0AE4">
          <w:rPr>
            <w:rStyle w:val="Hyperlink"/>
            <w:noProof/>
            <w:color w:val="auto"/>
          </w:rPr>
          <w:t>:  Trends for Sexually Transmitted Diseases</w:t>
        </w:r>
        <w:r w:rsidR="001670EC" w:rsidRPr="00DC0AE4">
          <w:rPr>
            <w:noProof/>
            <w:webHidden/>
          </w:rPr>
          <w:tab/>
        </w:r>
        <w:r w:rsidRPr="00DC0AE4">
          <w:rPr>
            <w:noProof/>
            <w:webHidden/>
          </w:rPr>
          <w:fldChar w:fldCharType="begin"/>
        </w:r>
        <w:r w:rsidR="001670EC" w:rsidRPr="00DC0AE4">
          <w:rPr>
            <w:noProof/>
            <w:webHidden/>
          </w:rPr>
          <w:instrText xml:space="preserve"> PAGEREF _Toc355250973 \h </w:instrText>
        </w:r>
        <w:r w:rsidRPr="00DC0AE4">
          <w:rPr>
            <w:noProof/>
            <w:webHidden/>
          </w:rPr>
        </w:r>
        <w:r w:rsidRPr="00DC0AE4">
          <w:rPr>
            <w:noProof/>
            <w:webHidden/>
          </w:rPr>
          <w:fldChar w:fldCharType="separate"/>
        </w:r>
        <w:r w:rsidR="001670EC">
          <w:rPr>
            <w:noProof/>
            <w:webHidden/>
          </w:rPr>
          <w:t>38</w:t>
        </w:r>
        <w:r w:rsidRPr="00DC0AE4">
          <w:rPr>
            <w:noProof/>
            <w:webHidden/>
          </w:rPr>
          <w:fldChar w:fldCharType="end"/>
        </w:r>
      </w:hyperlink>
    </w:p>
    <w:p w:rsidR="001670EC" w:rsidRPr="00DC0AE4" w:rsidRDefault="003D1A5F" w:rsidP="004B16E5">
      <w:pPr>
        <w:pStyle w:val="TOC2"/>
        <w:rPr>
          <w:noProof/>
        </w:rPr>
      </w:pPr>
      <w:hyperlink w:anchor="_Toc355250974" w:history="1">
        <w:r w:rsidR="001670EC">
          <w:rPr>
            <w:rStyle w:val="Hyperlink"/>
            <w:noProof/>
            <w:color w:val="auto"/>
          </w:rPr>
          <w:t>Figure 19</w:t>
        </w:r>
        <w:r w:rsidR="001670EC" w:rsidRPr="00DC0AE4">
          <w:rPr>
            <w:rStyle w:val="Hyperlink"/>
            <w:noProof/>
            <w:color w:val="auto"/>
          </w:rPr>
          <w:t>:  Trends for Teen Pregnancy</w:t>
        </w:r>
        <w:r w:rsidR="001670EC" w:rsidRPr="00DC0AE4">
          <w:rPr>
            <w:noProof/>
            <w:webHidden/>
          </w:rPr>
          <w:tab/>
        </w:r>
        <w:r w:rsidRPr="00DC0AE4">
          <w:rPr>
            <w:noProof/>
            <w:webHidden/>
          </w:rPr>
          <w:fldChar w:fldCharType="begin"/>
        </w:r>
        <w:r w:rsidR="001670EC" w:rsidRPr="00DC0AE4">
          <w:rPr>
            <w:noProof/>
            <w:webHidden/>
          </w:rPr>
          <w:instrText xml:space="preserve"> PAGEREF _Toc355250974 \h </w:instrText>
        </w:r>
        <w:r w:rsidRPr="00DC0AE4">
          <w:rPr>
            <w:noProof/>
            <w:webHidden/>
          </w:rPr>
        </w:r>
        <w:r w:rsidRPr="00DC0AE4">
          <w:rPr>
            <w:noProof/>
            <w:webHidden/>
          </w:rPr>
          <w:fldChar w:fldCharType="separate"/>
        </w:r>
        <w:r w:rsidR="001670EC">
          <w:rPr>
            <w:noProof/>
            <w:webHidden/>
          </w:rPr>
          <w:t>38</w:t>
        </w:r>
        <w:r w:rsidRPr="00DC0AE4">
          <w:rPr>
            <w:noProof/>
            <w:webHidden/>
          </w:rPr>
          <w:fldChar w:fldCharType="end"/>
        </w:r>
      </w:hyperlink>
    </w:p>
    <w:p w:rsidR="001670EC" w:rsidRPr="00DC0AE4" w:rsidRDefault="003D1A5F" w:rsidP="004B16E5">
      <w:pPr>
        <w:pStyle w:val="TOC2"/>
        <w:rPr>
          <w:noProof/>
        </w:rPr>
      </w:pPr>
      <w:hyperlink w:anchor="_Toc355250975" w:history="1">
        <w:r w:rsidR="001670EC" w:rsidRPr="00DC0AE4">
          <w:rPr>
            <w:rStyle w:val="Hyperlink"/>
            <w:noProof/>
            <w:color w:val="auto"/>
          </w:rPr>
          <w:t>Figure 2</w:t>
        </w:r>
        <w:r w:rsidR="001670EC">
          <w:rPr>
            <w:rStyle w:val="Hyperlink"/>
            <w:noProof/>
            <w:color w:val="auto"/>
          </w:rPr>
          <w:t>0</w:t>
        </w:r>
        <w:r w:rsidR="001670EC" w:rsidRPr="00DC0AE4">
          <w:rPr>
            <w:rStyle w:val="Hyperlink"/>
            <w:noProof/>
            <w:color w:val="auto"/>
          </w:rPr>
          <w:t>:  Trends for Maternal, Infant and Reproductive Health</w:t>
        </w:r>
        <w:r w:rsidR="001670EC" w:rsidRPr="00DC0AE4">
          <w:rPr>
            <w:noProof/>
            <w:webHidden/>
          </w:rPr>
          <w:tab/>
        </w:r>
        <w:r w:rsidRPr="00DC0AE4">
          <w:rPr>
            <w:noProof/>
            <w:webHidden/>
          </w:rPr>
          <w:fldChar w:fldCharType="begin"/>
        </w:r>
        <w:r w:rsidR="001670EC" w:rsidRPr="00DC0AE4">
          <w:rPr>
            <w:noProof/>
            <w:webHidden/>
          </w:rPr>
          <w:instrText xml:space="preserve"> PAGEREF _Toc355250975 \h </w:instrText>
        </w:r>
        <w:r w:rsidRPr="00DC0AE4">
          <w:rPr>
            <w:noProof/>
            <w:webHidden/>
          </w:rPr>
        </w:r>
        <w:r w:rsidRPr="00DC0AE4">
          <w:rPr>
            <w:noProof/>
            <w:webHidden/>
          </w:rPr>
          <w:fldChar w:fldCharType="separate"/>
        </w:r>
        <w:r w:rsidR="001670EC">
          <w:rPr>
            <w:noProof/>
            <w:webHidden/>
          </w:rPr>
          <w:t>39</w:t>
        </w:r>
        <w:r w:rsidRPr="00DC0AE4">
          <w:rPr>
            <w:noProof/>
            <w:webHidden/>
          </w:rPr>
          <w:fldChar w:fldCharType="end"/>
        </w:r>
      </w:hyperlink>
    </w:p>
    <w:p w:rsidR="001670EC" w:rsidRPr="00DC0AE4" w:rsidRDefault="003D1A5F" w:rsidP="004B16E5">
      <w:pPr>
        <w:pStyle w:val="TOC2"/>
        <w:rPr>
          <w:noProof/>
        </w:rPr>
      </w:pPr>
      <w:hyperlink w:anchor="_Toc355250976" w:history="1">
        <w:r w:rsidR="001670EC" w:rsidRPr="00DC0AE4">
          <w:rPr>
            <w:rStyle w:val="Hyperlink"/>
            <w:noProof/>
            <w:color w:val="auto"/>
          </w:rPr>
          <w:t>Table 1: County Health Rankings, Outcomes and Factors for Selected NYS Counties</w:t>
        </w:r>
        <w:r w:rsidR="001670EC" w:rsidRPr="00DC0AE4">
          <w:rPr>
            <w:noProof/>
            <w:webHidden/>
          </w:rPr>
          <w:tab/>
        </w:r>
        <w:r w:rsidRPr="00DC0AE4">
          <w:rPr>
            <w:noProof/>
            <w:webHidden/>
          </w:rPr>
          <w:fldChar w:fldCharType="begin"/>
        </w:r>
        <w:r w:rsidR="001670EC" w:rsidRPr="00DC0AE4">
          <w:rPr>
            <w:noProof/>
            <w:webHidden/>
          </w:rPr>
          <w:instrText xml:space="preserve"> PAGEREF _Toc355250976 \h </w:instrText>
        </w:r>
        <w:r w:rsidRPr="00DC0AE4">
          <w:rPr>
            <w:noProof/>
            <w:webHidden/>
          </w:rPr>
        </w:r>
        <w:r w:rsidRPr="00DC0AE4">
          <w:rPr>
            <w:noProof/>
            <w:webHidden/>
          </w:rPr>
          <w:fldChar w:fldCharType="separate"/>
        </w:r>
        <w:r w:rsidR="001670EC">
          <w:rPr>
            <w:noProof/>
            <w:webHidden/>
          </w:rPr>
          <w:t>40</w:t>
        </w:r>
        <w:r w:rsidRPr="00DC0AE4">
          <w:rPr>
            <w:noProof/>
            <w:webHidden/>
          </w:rPr>
          <w:fldChar w:fldCharType="end"/>
        </w:r>
      </w:hyperlink>
    </w:p>
    <w:p w:rsidR="001670EC" w:rsidRDefault="003D1A5F" w:rsidP="004B16E5">
      <w:pPr>
        <w:pStyle w:val="TOC2"/>
      </w:pPr>
      <w:hyperlink w:anchor="_Toc355250977" w:history="1">
        <w:r w:rsidR="001670EC" w:rsidRPr="00DC0AE4">
          <w:rPr>
            <w:rStyle w:val="Hyperlink"/>
            <w:noProof/>
            <w:color w:val="auto"/>
          </w:rPr>
          <w:t>Table 1A: Fulton County Comparison of Outcomes/Factors to State and Regional Rankings</w:t>
        </w:r>
        <w:r w:rsidR="001670EC" w:rsidRPr="00DC0AE4">
          <w:rPr>
            <w:noProof/>
            <w:webHidden/>
          </w:rPr>
          <w:tab/>
        </w:r>
        <w:r w:rsidRPr="00DC0AE4">
          <w:rPr>
            <w:noProof/>
            <w:webHidden/>
          </w:rPr>
          <w:fldChar w:fldCharType="begin"/>
        </w:r>
        <w:r w:rsidR="001670EC" w:rsidRPr="00DC0AE4">
          <w:rPr>
            <w:noProof/>
            <w:webHidden/>
          </w:rPr>
          <w:instrText xml:space="preserve"> PAGEREF _Toc355250977 \h </w:instrText>
        </w:r>
        <w:r w:rsidRPr="00DC0AE4">
          <w:rPr>
            <w:noProof/>
            <w:webHidden/>
          </w:rPr>
        </w:r>
        <w:r w:rsidRPr="00DC0AE4">
          <w:rPr>
            <w:noProof/>
            <w:webHidden/>
          </w:rPr>
          <w:fldChar w:fldCharType="separate"/>
        </w:r>
        <w:r w:rsidR="001670EC">
          <w:rPr>
            <w:noProof/>
            <w:webHidden/>
          </w:rPr>
          <w:t>40</w:t>
        </w:r>
        <w:r w:rsidRPr="00DC0AE4">
          <w:rPr>
            <w:noProof/>
            <w:webHidden/>
          </w:rPr>
          <w:fldChar w:fldCharType="end"/>
        </w:r>
      </w:hyperlink>
    </w:p>
    <w:p w:rsidR="001670EC" w:rsidRPr="00232522" w:rsidRDefault="001670EC" w:rsidP="00232522">
      <w:pPr>
        <w:ind w:firstLine="220"/>
      </w:pPr>
      <w:r>
        <w:t>Table 1B:  Montgomery County Comparison of Outcomes/Factors to State and Regional Rankings…..41</w:t>
      </w:r>
    </w:p>
    <w:p w:rsidR="001670EC" w:rsidRPr="00DC0AE4" w:rsidRDefault="003D1A5F" w:rsidP="004B16E5">
      <w:pPr>
        <w:pStyle w:val="TOC2"/>
        <w:rPr>
          <w:noProof/>
        </w:rPr>
      </w:pPr>
      <w:hyperlink w:anchor="_Toc355250978" w:history="1">
        <w:r w:rsidR="001670EC" w:rsidRPr="00DC0AE4">
          <w:rPr>
            <w:rStyle w:val="Hyperlink"/>
            <w:noProof/>
            <w:color w:val="auto"/>
          </w:rPr>
          <w:t>Table 2: County Health Rankings, Factors-Focus Areas for Selected NYS Counties</w:t>
        </w:r>
        <w:r w:rsidR="001670EC" w:rsidRPr="00DC0AE4">
          <w:rPr>
            <w:noProof/>
            <w:webHidden/>
          </w:rPr>
          <w:tab/>
        </w:r>
        <w:r w:rsidRPr="00DC0AE4">
          <w:rPr>
            <w:noProof/>
            <w:webHidden/>
          </w:rPr>
          <w:fldChar w:fldCharType="begin"/>
        </w:r>
        <w:r w:rsidR="001670EC" w:rsidRPr="00DC0AE4">
          <w:rPr>
            <w:noProof/>
            <w:webHidden/>
          </w:rPr>
          <w:instrText xml:space="preserve"> PAGEREF _Toc355250978 \h </w:instrText>
        </w:r>
        <w:r w:rsidRPr="00DC0AE4">
          <w:rPr>
            <w:noProof/>
            <w:webHidden/>
          </w:rPr>
        </w:r>
        <w:r w:rsidRPr="00DC0AE4">
          <w:rPr>
            <w:noProof/>
            <w:webHidden/>
          </w:rPr>
          <w:fldChar w:fldCharType="separate"/>
        </w:r>
        <w:r w:rsidR="001670EC">
          <w:rPr>
            <w:noProof/>
            <w:webHidden/>
          </w:rPr>
          <w:t>42</w:t>
        </w:r>
        <w:r w:rsidRPr="00DC0AE4">
          <w:rPr>
            <w:noProof/>
            <w:webHidden/>
          </w:rPr>
          <w:fldChar w:fldCharType="end"/>
        </w:r>
      </w:hyperlink>
    </w:p>
    <w:p w:rsidR="001670EC" w:rsidRDefault="003D1A5F" w:rsidP="004B16E5">
      <w:pPr>
        <w:pStyle w:val="TOC2"/>
      </w:pPr>
      <w:hyperlink w:anchor="_Toc355250979" w:history="1">
        <w:r w:rsidR="001670EC" w:rsidRPr="00DC0AE4">
          <w:rPr>
            <w:rStyle w:val="Hyperlink"/>
            <w:noProof/>
            <w:color w:val="auto"/>
          </w:rPr>
          <w:t>Table 2A: Fulton County Comparison of Factors/Focus Areas to State and Regional Rankings</w:t>
        </w:r>
        <w:r w:rsidR="001670EC" w:rsidRPr="00DC0AE4">
          <w:rPr>
            <w:noProof/>
            <w:webHidden/>
          </w:rPr>
          <w:tab/>
        </w:r>
        <w:r w:rsidRPr="00DC0AE4">
          <w:rPr>
            <w:noProof/>
            <w:webHidden/>
          </w:rPr>
          <w:fldChar w:fldCharType="begin"/>
        </w:r>
        <w:r w:rsidR="001670EC" w:rsidRPr="00DC0AE4">
          <w:rPr>
            <w:noProof/>
            <w:webHidden/>
          </w:rPr>
          <w:instrText xml:space="preserve"> PAGEREF _Toc355250979 \h </w:instrText>
        </w:r>
        <w:r w:rsidRPr="00DC0AE4">
          <w:rPr>
            <w:noProof/>
            <w:webHidden/>
          </w:rPr>
        </w:r>
        <w:r w:rsidRPr="00DC0AE4">
          <w:rPr>
            <w:noProof/>
            <w:webHidden/>
          </w:rPr>
          <w:fldChar w:fldCharType="separate"/>
        </w:r>
        <w:r w:rsidR="001670EC">
          <w:rPr>
            <w:noProof/>
            <w:webHidden/>
          </w:rPr>
          <w:t>43</w:t>
        </w:r>
        <w:r w:rsidRPr="00DC0AE4">
          <w:rPr>
            <w:noProof/>
            <w:webHidden/>
          </w:rPr>
          <w:fldChar w:fldCharType="end"/>
        </w:r>
      </w:hyperlink>
    </w:p>
    <w:p w:rsidR="001670EC" w:rsidRPr="00DE78E5" w:rsidRDefault="001670EC" w:rsidP="00DE78E5">
      <w:pPr>
        <w:ind w:firstLine="220"/>
      </w:pPr>
      <w:r>
        <w:t>Table 2B:  Montgomery County Comparison of Factors/Focus Areas to State and Regional Rankings..44</w:t>
      </w:r>
    </w:p>
    <w:p w:rsidR="001670EC" w:rsidRDefault="003D1A5F" w:rsidP="004B16E5">
      <w:pPr>
        <w:pStyle w:val="TOC2"/>
      </w:pPr>
      <w:hyperlink w:anchor="_Toc355250980" w:history="1">
        <w:r w:rsidR="001670EC" w:rsidRPr="00DC0AE4">
          <w:rPr>
            <w:rStyle w:val="Hyperlink"/>
            <w:noProof/>
            <w:color w:val="auto"/>
          </w:rPr>
          <w:t>Table 3</w:t>
        </w:r>
        <w:r w:rsidR="001670EC">
          <w:rPr>
            <w:rStyle w:val="Hyperlink"/>
            <w:noProof/>
            <w:color w:val="auto"/>
          </w:rPr>
          <w:t>A</w:t>
        </w:r>
        <w:r w:rsidR="001670EC" w:rsidRPr="00DC0AE4">
          <w:rPr>
            <w:rStyle w:val="Hyperlink"/>
            <w:noProof/>
            <w:color w:val="auto"/>
          </w:rPr>
          <w:t>: Leading Causes of Death in Fulton County</w:t>
        </w:r>
        <w:r w:rsidR="001670EC" w:rsidRPr="00DC0AE4">
          <w:rPr>
            <w:noProof/>
            <w:webHidden/>
          </w:rPr>
          <w:tab/>
        </w:r>
        <w:r w:rsidRPr="00DC0AE4">
          <w:rPr>
            <w:noProof/>
            <w:webHidden/>
          </w:rPr>
          <w:fldChar w:fldCharType="begin"/>
        </w:r>
        <w:r w:rsidR="001670EC" w:rsidRPr="00DC0AE4">
          <w:rPr>
            <w:noProof/>
            <w:webHidden/>
          </w:rPr>
          <w:instrText xml:space="preserve"> PAGEREF _Toc355250980 \h </w:instrText>
        </w:r>
        <w:r w:rsidRPr="00DC0AE4">
          <w:rPr>
            <w:noProof/>
            <w:webHidden/>
          </w:rPr>
        </w:r>
        <w:r w:rsidRPr="00DC0AE4">
          <w:rPr>
            <w:noProof/>
            <w:webHidden/>
          </w:rPr>
          <w:fldChar w:fldCharType="separate"/>
        </w:r>
        <w:r w:rsidR="001670EC">
          <w:rPr>
            <w:noProof/>
            <w:webHidden/>
          </w:rPr>
          <w:t>45</w:t>
        </w:r>
        <w:r w:rsidRPr="00DC0AE4">
          <w:rPr>
            <w:noProof/>
            <w:webHidden/>
          </w:rPr>
          <w:fldChar w:fldCharType="end"/>
        </w:r>
      </w:hyperlink>
    </w:p>
    <w:p w:rsidR="001670EC" w:rsidRPr="00DE78E5" w:rsidRDefault="001670EC" w:rsidP="00DE78E5">
      <w:pPr>
        <w:ind w:firstLine="220"/>
      </w:pPr>
      <w:r>
        <w:t>Table 3B:  Leading Causes of Death in Montgomery County ……………………………………………………………. 45</w:t>
      </w:r>
    </w:p>
    <w:p w:rsidR="001670EC" w:rsidRPr="00DC0AE4" w:rsidRDefault="003D1A5F" w:rsidP="004B16E5">
      <w:pPr>
        <w:pStyle w:val="TOC2"/>
        <w:rPr>
          <w:noProof/>
        </w:rPr>
      </w:pPr>
      <w:hyperlink w:anchor="_Toc355250981" w:history="1">
        <w:r w:rsidR="001670EC">
          <w:rPr>
            <w:rStyle w:val="Hyperlink"/>
            <w:noProof/>
            <w:color w:val="auto"/>
          </w:rPr>
          <w:t>Table 4</w:t>
        </w:r>
        <w:r w:rsidR="001670EC" w:rsidRPr="00DC0AE4">
          <w:rPr>
            <w:rStyle w:val="Hyperlink"/>
            <w:noProof/>
            <w:color w:val="auto"/>
          </w:rPr>
          <w:t>: Leading Causes of Premature Death for Counties in the Greater Region</w:t>
        </w:r>
        <w:r w:rsidR="001670EC" w:rsidRPr="00DC0AE4">
          <w:rPr>
            <w:noProof/>
            <w:webHidden/>
          </w:rPr>
          <w:tab/>
        </w:r>
        <w:r w:rsidRPr="00DC0AE4">
          <w:rPr>
            <w:noProof/>
            <w:webHidden/>
          </w:rPr>
          <w:fldChar w:fldCharType="begin"/>
        </w:r>
        <w:r w:rsidR="001670EC" w:rsidRPr="00DC0AE4">
          <w:rPr>
            <w:noProof/>
            <w:webHidden/>
          </w:rPr>
          <w:instrText xml:space="preserve"> PAGEREF _Toc355250981 \h </w:instrText>
        </w:r>
        <w:r w:rsidRPr="00DC0AE4">
          <w:rPr>
            <w:noProof/>
            <w:webHidden/>
          </w:rPr>
        </w:r>
        <w:r w:rsidRPr="00DC0AE4">
          <w:rPr>
            <w:noProof/>
            <w:webHidden/>
          </w:rPr>
          <w:fldChar w:fldCharType="separate"/>
        </w:r>
        <w:r w:rsidR="001670EC">
          <w:rPr>
            <w:noProof/>
            <w:webHidden/>
          </w:rPr>
          <w:t>46</w:t>
        </w:r>
        <w:r w:rsidRPr="00DC0AE4">
          <w:rPr>
            <w:noProof/>
            <w:webHidden/>
          </w:rPr>
          <w:fldChar w:fldCharType="end"/>
        </w:r>
      </w:hyperlink>
    </w:p>
    <w:p w:rsidR="001670EC" w:rsidRPr="00DC0AE4" w:rsidRDefault="003D1A5F" w:rsidP="004B16E5">
      <w:pPr>
        <w:pStyle w:val="TOC2"/>
        <w:rPr>
          <w:noProof/>
        </w:rPr>
      </w:pPr>
      <w:hyperlink w:anchor="_Toc355250982" w:history="1">
        <w:r w:rsidR="001670EC" w:rsidRPr="00DC0AE4">
          <w:rPr>
            <w:rStyle w:val="Hyperlink"/>
            <w:noProof/>
            <w:color w:val="auto"/>
          </w:rPr>
          <w:t xml:space="preserve">Table </w:t>
        </w:r>
        <w:r w:rsidR="001670EC">
          <w:rPr>
            <w:rStyle w:val="Hyperlink"/>
            <w:noProof/>
            <w:color w:val="auto"/>
          </w:rPr>
          <w:t>5</w:t>
        </w:r>
        <w:r w:rsidR="001670EC" w:rsidRPr="00DC0AE4">
          <w:rPr>
            <w:rStyle w:val="Hyperlink"/>
            <w:noProof/>
            <w:color w:val="auto"/>
          </w:rPr>
          <w:t>: Health Needs Priority Rankings</w:t>
        </w:r>
        <w:r w:rsidR="001670EC">
          <w:rPr>
            <w:noProof/>
            <w:webHidden/>
          </w:rPr>
          <w:t xml:space="preserve"> …………………………………………………………………………………………...</w:t>
        </w:r>
        <w:r w:rsidRPr="00DC0AE4">
          <w:rPr>
            <w:noProof/>
            <w:webHidden/>
          </w:rPr>
          <w:fldChar w:fldCharType="begin"/>
        </w:r>
        <w:r w:rsidR="001670EC" w:rsidRPr="00DC0AE4">
          <w:rPr>
            <w:noProof/>
            <w:webHidden/>
          </w:rPr>
          <w:instrText xml:space="preserve"> PAGEREF _Toc355250982 \h </w:instrText>
        </w:r>
        <w:r w:rsidRPr="00DC0AE4">
          <w:rPr>
            <w:noProof/>
            <w:webHidden/>
          </w:rPr>
        </w:r>
        <w:r w:rsidRPr="00DC0AE4">
          <w:rPr>
            <w:noProof/>
            <w:webHidden/>
          </w:rPr>
          <w:fldChar w:fldCharType="separate"/>
        </w:r>
        <w:r w:rsidR="001670EC">
          <w:rPr>
            <w:noProof/>
            <w:webHidden/>
          </w:rPr>
          <w:t>47</w:t>
        </w:r>
        <w:r w:rsidRPr="00DC0AE4">
          <w:rPr>
            <w:noProof/>
            <w:webHidden/>
          </w:rPr>
          <w:fldChar w:fldCharType="end"/>
        </w:r>
      </w:hyperlink>
    </w:p>
    <w:p w:rsidR="001670EC" w:rsidRPr="00DC0AE4" w:rsidRDefault="003D1A5F" w:rsidP="004B16E5">
      <w:pPr>
        <w:pStyle w:val="TOC2"/>
        <w:rPr>
          <w:noProof/>
        </w:rPr>
      </w:pPr>
      <w:hyperlink w:anchor="_Toc355250983" w:history="1">
        <w:r w:rsidR="001670EC" w:rsidRPr="00DC0AE4">
          <w:rPr>
            <w:rStyle w:val="Hyperlink"/>
            <w:noProof/>
            <w:color w:val="auto"/>
          </w:rPr>
          <w:t xml:space="preserve">Table </w:t>
        </w:r>
        <w:r w:rsidR="001670EC">
          <w:rPr>
            <w:rStyle w:val="Hyperlink"/>
            <w:noProof/>
            <w:color w:val="auto"/>
          </w:rPr>
          <w:t>6</w:t>
        </w:r>
        <w:r w:rsidR="001670EC" w:rsidRPr="00DC0AE4">
          <w:rPr>
            <w:rStyle w:val="Hyperlink"/>
            <w:noProof/>
            <w:color w:val="auto"/>
          </w:rPr>
          <w:t>: Health Indicator Trend Data</w:t>
        </w:r>
        <w:r w:rsidR="001670EC" w:rsidRPr="00DC0AE4">
          <w:rPr>
            <w:noProof/>
            <w:webHidden/>
          </w:rPr>
          <w:tab/>
        </w:r>
        <w:r w:rsidRPr="00DC0AE4">
          <w:rPr>
            <w:noProof/>
            <w:webHidden/>
          </w:rPr>
          <w:fldChar w:fldCharType="begin"/>
        </w:r>
        <w:r w:rsidR="001670EC" w:rsidRPr="00DC0AE4">
          <w:rPr>
            <w:noProof/>
            <w:webHidden/>
          </w:rPr>
          <w:instrText xml:space="preserve"> PAGEREF _Toc355250983 \h </w:instrText>
        </w:r>
        <w:r w:rsidRPr="00DC0AE4">
          <w:rPr>
            <w:noProof/>
            <w:webHidden/>
          </w:rPr>
        </w:r>
        <w:r w:rsidRPr="00DC0AE4">
          <w:rPr>
            <w:noProof/>
            <w:webHidden/>
          </w:rPr>
          <w:fldChar w:fldCharType="separate"/>
        </w:r>
        <w:r w:rsidR="001670EC">
          <w:rPr>
            <w:noProof/>
            <w:webHidden/>
          </w:rPr>
          <w:t>48</w:t>
        </w:r>
        <w:r w:rsidRPr="00DC0AE4">
          <w:rPr>
            <w:noProof/>
            <w:webHidden/>
          </w:rPr>
          <w:fldChar w:fldCharType="end"/>
        </w:r>
      </w:hyperlink>
    </w:p>
    <w:p w:rsidR="001670EC" w:rsidRPr="00DC0AE4" w:rsidRDefault="003D1A5F" w:rsidP="004B16E5">
      <w:pPr>
        <w:pStyle w:val="TOC2"/>
        <w:rPr>
          <w:noProof/>
        </w:rPr>
      </w:pPr>
      <w:hyperlink w:anchor="_Toc355250984" w:history="1">
        <w:r w:rsidR="001670EC" w:rsidRPr="00DC0AE4">
          <w:rPr>
            <w:rStyle w:val="Hyperlink"/>
            <w:noProof/>
            <w:color w:val="auto"/>
          </w:rPr>
          <w:t xml:space="preserve">Table </w:t>
        </w:r>
        <w:r w:rsidR="001670EC">
          <w:rPr>
            <w:rStyle w:val="Hyperlink"/>
            <w:noProof/>
            <w:color w:val="auto"/>
          </w:rPr>
          <w:t>7</w:t>
        </w:r>
        <w:r w:rsidR="001670EC" w:rsidRPr="00DC0AE4">
          <w:rPr>
            <w:rStyle w:val="Hyperlink"/>
            <w:noProof/>
            <w:color w:val="auto"/>
          </w:rPr>
          <w:t>: Health Indicator Measures and Benchmarks</w:t>
        </w:r>
        <w:r w:rsidR="001670EC" w:rsidRPr="00DC0AE4">
          <w:rPr>
            <w:noProof/>
            <w:webHidden/>
          </w:rPr>
          <w:tab/>
        </w:r>
        <w:r w:rsidR="001670EC">
          <w:rPr>
            <w:noProof/>
            <w:webHidden/>
          </w:rPr>
          <w:t>62</w:t>
        </w:r>
      </w:hyperlink>
    </w:p>
    <w:p w:rsidR="001670EC" w:rsidRPr="00DC0AE4" w:rsidRDefault="003D1A5F" w:rsidP="004B16E5">
      <w:pPr>
        <w:pStyle w:val="TOC2"/>
        <w:rPr>
          <w:noProof/>
        </w:rPr>
      </w:pPr>
      <w:hyperlink w:anchor="_Toc355250985" w:history="1">
        <w:r w:rsidR="001670EC" w:rsidRPr="00DC0AE4">
          <w:rPr>
            <w:rStyle w:val="Hyperlink"/>
            <w:noProof/>
            <w:color w:val="auto"/>
          </w:rPr>
          <w:t xml:space="preserve">Table </w:t>
        </w:r>
        <w:r w:rsidR="001670EC">
          <w:rPr>
            <w:rStyle w:val="Hyperlink"/>
            <w:noProof/>
            <w:color w:val="auto"/>
          </w:rPr>
          <w:t>8</w:t>
        </w:r>
        <w:r w:rsidR="001670EC" w:rsidRPr="00DC0AE4">
          <w:rPr>
            <w:rStyle w:val="Hyperlink"/>
            <w:noProof/>
            <w:color w:val="auto"/>
          </w:rPr>
          <w:t>: Health Indicator Data Analysis</w:t>
        </w:r>
        <w:r w:rsidR="001670EC" w:rsidRPr="00DC0AE4">
          <w:rPr>
            <w:noProof/>
            <w:webHidden/>
          </w:rPr>
          <w:tab/>
        </w:r>
        <w:r w:rsidRPr="00DC0AE4">
          <w:rPr>
            <w:noProof/>
            <w:webHidden/>
          </w:rPr>
          <w:fldChar w:fldCharType="begin"/>
        </w:r>
        <w:r w:rsidR="001670EC" w:rsidRPr="00DC0AE4">
          <w:rPr>
            <w:noProof/>
            <w:webHidden/>
          </w:rPr>
          <w:instrText xml:space="preserve"> PAGEREF _Toc355250985 \h </w:instrText>
        </w:r>
        <w:r w:rsidRPr="00DC0AE4">
          <w:rPr>
            <w:noProof/>
            <w:webHidden/>
          </w:rPr>
        </w:r>
        <w:r w:rsidRPr="00DC0AE4">
          <w:rPr>
            <w:noProof/>
            <w:webHidden/>
          </w:rPr>
          <w:fldChar w:fldCharType="separate"/>
        </w:r>
        <w:r w:rsidR="001670EC">
          <w:rPr>
            <w:noProof/>
            <w:webHidden/>
          </w:rPr>
          <w:t>82</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87" w:history="1">
        <w:r w:rsidR="001670EC" w:rsidRPr="00DC0AE4">
          <w:rPr>
            <w:rStyle w:val="Hyperlink"/>
            <w:noProof/>
            <w:color w:val="4F81BD"/>
          </w:rPr>
          <w:t xml:space="preserve">Appendix 1:  Methodology &amp; Data Sources </w:t>
        </w:r>
        <w:r w:rsidR="001670EC" w:rsidRPr="00DC0AE4">
          <w:rPr>
            <w:noProof/>
            <w:webHidden/>
          </w:rPr>
          <w:tab/>
        </w:r>
        <w:r w:rsidRPr="00DC0AE4">
          <w:rPr>
            <w:noProof/>
            <w:webHidden/>
          </w:rPr>
          <w:fldChar w:fldCharType="begin"/>
        </w:r>
        <w:r w:rsidR="001670EC" w:rsidRPr="00DC0AE4">
          <w:rPr>
            <w:noProof/>
            <w:webHidden/>
          </w:rPr>
          <w:instrText xml:space="preserve"> PAGEREF _Toc355250987 \h </w:instrText>
        </w:r>
        <w:r w:rsidRPr="00DC0AE4">
          <w:rPr>
            <w:noProof/>
            <w:webHidden/>
          </w:rPr>
        </w:r>
        <w:r w:rsidRPr="00DC0AE4">
          <w:rPr>
            <w:noProof/>
            <w:webHidden/>
          </w:rPr>
          <w:fldChar w:fldCharType="separate"/>
        </w:r>
        <w:r w:rsidR="001670EC">
          <w:rPr>
            <w:noProof/>
            <w:webHidden/>
          </w:rPr>
          <w:t>I</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88" w:history="1">
        <w:r w:rsidR="001670EC" w:rsidRPr="00DC0AE4">
          <w:rPr>
            <w:rStyle w:val="Hyperlink"/>
            <w:noProof/>
            <w:color w:val="4F81BD"/>
          </w:rPr>
          <w:t>Appendix 2:  ARHN Survey Regional Results Summary</w:t>
        </w:r>
        <w:r w:rsidR="001670EC" w:rsidRPr="00DC0AE4">
          <w:rPr>
            <w:noProof/>
            <w:webHidden/>
          </w:rPr>
          <w:tab/>
        </w:r>
        <w:r w:rsidRPr="00DC0AE4">
          <w:rPr>
            <w:noProof/>
            <w:webHidden/>
          </w:rPr>
          <w:fldChar w:fldCharType="begin"/>
        </w:r>
        <w:r w:rsidR="001670EC" w:rsidRPr="00DC0AE4">
          <w:rPr>
            <w:noProof/>
            <w:webHidden/>
          </w:rPr>
          <w:instrText xml:space="preserve"> PAGEREF _Toc355250988 \h </w:instrText>
        </w:r>
        <w:r w:rsidRPr="00DC0AE4">
          <w:rPr>
            <w:noProof/>
            <w:webHidden/>
          </w:rPr>
        </w:r>
        <w:r w:rsidRPr="00DC0AE4">
          <w:rPr>
            <w:noProof/>
            <w:webHidden/>
          </w:rPr>
          <w:fldChar w:fldCharType="separate"/>
        </w:r>
        <w:r w:rsidR="001670EC">
          <w:rPr>
            <w:noProof/>
            <w:webHidden/>
          </w:rPr>
          <w:t>VII</w:t>
        </w:r>
        <w:r w:rsidRPr="00DC0AE4">
          <w:rPr>
            <w:noProof/>
            <w:webHidden/>
          </w:rPr>
          <w:fldChar w:fldCharType="end"/>
        </w:r>
      </w:hyperlink>
    </w:p>
    <w:p w:rsidR="001670EC" w:rsidRPr="00DC0AE4" w:rsidRDefault="003D1A5F">
      <w:pPr>
        <w:pStyle w:val="TOC1"/>
        <w:rPr>
          <w:rFonts w:ascii="Calibri" w:hAnsi="Calibri"/>
          <w:b w:val="0"/>
          <w:noProof/>
          <w:sz w:val="22"/>
          <w:szCs w:val="22"/>
        </w:rPr>
      </w:pPr>
      <w:hyperlink w:anchor="_Toc355250989" w:history="1">
        <w:r w:rsidR="001670EC" w:rsidRPr="00DC0AE4">
          <w:rPr>
            <w:rStyle w:val="Hyperlink"/>
            <w:noProof/>
            <w:color w:val="4F81BD"/>
          </w:rPr>
          <w:t>Appendix 3:  ARHN Survey Results:  Fulton County</w:t>
        </w:r>
        <w:r w:rsidR="001670EC" w:rsidRPr="00DC0AE4">
          <w:rPr>
            <w:noProof/>
            <w:webHidden/>
          </w:rPr>
          <w:tab/>
        </w:r>
        <w:r w:rsidR="00CF7937">
          <w:rPr>
            <w:noProof/>
            <w:webHidden/>
          </w:rPr>
          <w:t>VIII</w:t>
        </w:r>
      </w:hyperlink>
    </w:p>
    <w:p w:rsidR="001670EC" w:rsidRPr="00DC0AE4" w:rsidRDefault="003D1A5F">
      <w:pPr>
        <w:pStyle w:val="TOC1"/>
      </w:pPr>
      <w:hyperlink w:anchor="_Toc355250990" w:history="1">
        <w:r w:rsidR="001670EC" w:rsidRPr="00DC0AE4">
          <w:rPr>
            <w:rStyle w:val="Hyperlink"/>
            <w:noProof/>
            <w:color w:val="4F81BD"/>
          </w:rPr>
          <w:t>Appendix 4:  Other</w:t>
        </w:r>
        <w:r w:rsidR="001670EC" w:rsidRPr="00DC0AE4">
          <w:rPr>
            <w:noProof/>
            <w:webHidden/>
          </w:rPr>
          <w:tab/>
        </w:r>
        <w:r w:rsidRPr="00DC0AE4">
          <w:rPr>
            <w:noProof/>
            <w:webHidden/>
          </w:rPr>
          <w:fldChar w:fldCharType="begin"/>
        </w:r>
        <w:r w:rsidR="001670EC" w:rsidRPr="00DC0AE4">
          <w:rPr>
            <w:noProof/>
            <w:webHidden/>
          </w:rPr>
          <w:instrText xml:space="preserve"> PAGEREF _Toc355250990 \h </w:instrText>
        </w:r>
        <w:r w:rsidRPr="00DC0AE4">
          <w:rPr>
            <w:noProof/>
            <w:webHidden/>
          </w:rPr>
        </w:r>
        <w:r w:rsidRPr="00DC0AE4">
          <w:rPr>
            <w:noProof/>
            <w:webHidden/>
          </w:rPr>
          <w:fldChar w:fldCharType="separate"/>
        </w:r>
        <w:r w:rsidR="00E323FB">
          <w:rPr>
            <w:noProof/>
            <w:webHidden/>
          </w:rPr>
          <w:t>X</w:t>
        </w:r>
        <w:r w:rsidR="001670EC">
          <w:rPr>
            <w:noProof/>
            <w:webHidden/>
          </w:rPr>
          <w:t>I</w:t>
        </w:r>
        <w:r w:rsidRPr="00DC0AE4">
          <w:rPr>
            <w:noProof/>
            <w:webHidden/>
          </w:rPr>
          <w:fldChar w:fldCharType="end"/>
        </w:r>
      </w:hyperlink>
    </w:p>
    <w:p w:rsidR="001670EC" w:rsidRPr="00DC0AE4" w:rsidRDefault="001670EC" w:rsidP="00BD41CE">
      <w:pPr>
        <w:ind w:left="720"/>
        <w:rPr>
          <w:color w:val="4F81BD"/>
        </w:rPr>
      </w:pPr>
      <w:r w:rsidRPr="00DC0AE4">
        <w:rPr>
          <w:color w:val="4F81BD"/>
        </w:rPr>
        <w:t xml:space="preserve">* Data Consultant List; ARHN Community Health Planning / Steering Committee Membership   List; Community Health Planning Committee Schedule &amp; Attendance List; </w:t>
      </w:r>
      <w:r>
        <w:rPr>
          <w:color w:val="4F81BD"/>
        </w:rPr>
        <w:t xml:space="preserve"> Community Health Assessment Team / Meeting Schedule and Attendance List; </w:t>
      </w:r>
      <w:r w:rsidRPr="00DC0AE4">
        <w:rPr>
          <w:color w:val="4F81BD"/>
        </w:rPr>
        <w:t xml:space="preserve">ARHN Survey Response List;  </w:t>
      </w:r>
      <w:r>
        <w:rPr>
          <w:color w:val="4F81BD"/>
        </w:rPr>
        <w:t xml:space="preserve">Stakeholder Group Attendance  May 23, 2013, Stakeholder Meeting  /  Work Group Reports; </w:t>
      </w:r>
      <w:r w:rsidRPr="00DC0AE4">
        <w:rPr>
          <w:color w:val="4F81BD"/>
        </w:rPr>
        <w:t xml:space="preserve">ARHN New York State 8- County Map; </w:t>
      </w:r>
      <w:r>
        <w:rPr>
          <w:color w:val="4F81BD"/>
        </w:rPr>
        <w:t xml:space="preserve">Dot Method </w:t>
      </w:r>
      <w:r w:rsidRPr="00DC0AE4">
        <w:rPr>
          <w:color w:val="4F81BD"/>
        </w:rPr>
        <w:t>Prioritization Process</w:t>
      </w:r>
    </w:p>
    <w:p w:rsidR="001670EC" w:rsidRDefault="003D1A5F" w:rsidP="00AA1C8C">
      <w:pPr>
        <w:pStyle w:val="Heading1"/>
      </w:pPr>
      <w:r w:rsidRPr="00DC0AE4">
        <w:fldChar w:fldCharType="end"/>
      </w:r>
    </w:p>
    <w:p w:rsidR="001670EC" w:rsidRDefault="001670EC" w:rsidP="004574A4">
      <w:pPr>
        <w:rPr>
          <w:rFonts w:ascii="Cambria" w:hAnsi="Cambria"/>
          <w:color w:val="365F91"/>
          <w:sz w:val="28"/>
          <w:szCs w:val="28"/>
        </w:rPr>
      </w:pPr>
      <w:r>
        <w:br w:type="page"/>
      </w:r>
    </w:p>
    <w:p w:rsidR="001670EC" w:rsidRDefault="001670EC" w:rsidP="00AA1C8C">
      <w:pPr>
        <w:pStyle w:val="Heading1"/>
      </w:pPr>
      <w:bookmarkStart w:id="0" w:name="_Toc355250941"/>
      <w:r>
        <w:t>Introduction</w:t>
      </w:r>
      <w:bookmarkEnd w:id="0"/>
      <w:r>
        <w:t xml:space="preserve"> </w:t>
      </w:r>
    </w:p>
    <w:p w:rsidR="001670EC" w:rsidRPr="00A92C2C" w:rsidRDefault="001670EC" w:rsidP="00A92C2C"/>
    <w:p w:rsidR="001670EC" w:rsidRDefault="001670EC" w:rsidP="00E279F2">
      <w:r>
        <w:t xml:space="preserve">The purpose of this Community Health Needs Assessment (CHNA) is to identify and prioritize the healthcare challenges currently faced by the residents of Fulton County.  The findings in this CHNA result from a year-long process of collecting and analyzing data and consulting with stakeholders throughout the community and the region.  The results of this CHNA are intended to help members of the community, especially healthcare providers, work together to provide programs and services targeted to improve the overall health and well-being of all residents of Fulton County.  </w:t>
      </w:r>
    </w:p>
    <w:p w:rsidR="001670EC" w:rsidRDefault="001670EC" w:rsidP="00E279F2">
      <w:r>
        <w:t>Working within the framework provided by New York State’s Prevention Agenda, Nathan Littauer Hospital and Fulton County Public Health collaborated in the development of this CHNA.  Additionally, Nathan Littauer Hospital and Fulton County Public Health participated in regional health assessment and planning efforts conducted by the Adirondack Rural Health Network.</w:t>
      </w:r>
    </w:p>
    <w:p w:rsidR="001670EC" w:rsidRDefault="001670EC" w:rsidP="00C000A6">
      <w:pPr>
        <w:pStyle w:val="Heading1"/>
      </w:pPr>
      <w:bookmarkStart w:id="1" w:name="_Toc355250942"/>
      <w:r>
        <w:t>The Adirondack Rural Health Network</w:t>
      </w:r>
      <w:bookmarkEnd w:id="1"/>
    </w:p>
    <w:p w:rsidR="001670EC" w:rsidRPr="00A92C2C" w:rsidRDefault="001670EC" w:rsidP="00A92C2C"/>
    <w:p w:rsidR="001670EC" w:rsidRPr="003939F3" w:rsidRDefault="001670EC" w:rsidP="00FB0C03">
      <w:r w:rsidRPr="003939F3">
        <w:t>The Adirondack Rural Health Network is a program of the Adirondack Health Institute, Inc. (AHI). AHI is a 501c3 not-for-profit organization that is licensed as an Article 28 Central Service Facility.  AHI is a joint venture of Adirondack Health (Adirondack Medical Center), Community Providers, Inc. (Champlain Valley Physicians Hospital</w:t>
      </w:r>
      <w:r>
        <w:t xml:space="preserve"> </w:t>
      </w:r>
      <w:r w:rsidRPr="003939F3">
        <w:t>Medical Center) and Hudson Headwaters Health Network. The mission of AHI is to promote, sponsor, foster and deliver programs, activities and services which support the provision of comprehensive health care services to the people residing in the Adirondack region.</w:t>
      </w:r>
    </w:p>
    <w:p w:rsidR="001670EC" w:rsidRPr="003939F3" w:rsidRDefault="001670EC" w:rsidP="00FB0C03">
      <w:r w:rsidRPr="003939F3">
        <w:t xml:space="preserve">Established in 1992 through a New York State Department of Health Rural Health Development Grant, the Adirondack Rural Health Network (ARHN) is a regional multi-stakeholder coalition that conducts community health planning activities by providing the forum for local public health services, community health centers, hospitals, community mental health programs, emergency medical services, and other community-based organizations to assess regional needs and the effectiveness of the rural health care delivery system.  ARHN plans, facilitates and coordinates many different activities required for successful transformation of the health care system including: conducting community health assessments, provider education and training, patient and family engagement, identifying and implementing best practices to optimize health care quality, and publishing regional and county-specific data and reports at </w:t>
      </w:r>
      <w:hyperlink r:id="rId9" w:history="1">
        <w:r w:rsidRPr="003939F3">
          <w:rPr>
            <w:rStyle w:val="Hyperlink"/>
          </w:rPr>
          <w:t>www.arhn.org</w:t>
        </w:r>
      </w:hyperlink>
      <w:r w:rsidRPr="003939F3">
        <w:t xml:space="preserve">. </w:t>
      </w:r>
    </w:p>
    <w:p w:rsidR="001670EC" w:rsidRPr="003939F3" w:rsidRDefault="001670EC" w:rsidP="00FB0C03">
      <w:r w:rsidRPr="003939F3">
        <w:t xml:space="preserve">Since 2002, the ARHN has been recognized as the leading sponsor of formal health planning for Essex, Fulton, Hamilton, Saratoga, Warren and Washington Counties.  During 2011- 2012 the ARHN expanded its regional community health planning efforts to include Clinton and Franklin counties, and currently includes critical stakeholders from all eight counties in the regional planning process.  The ARHN provides a neutral, trusted mechanism through which key stakeholders throughout the region can plan, </w:t>
      </w:r>
      <w:r w:rsidRPr="003939F3">
        <w:lastRenderedPageBreak/>
        <w:t xml:space="preserve">facilitate and coordinate the activities necessary to complete their required community health planning documents, and strategize on a regional level to address common health care concerns.    </w:t>
      </w:r>
    </w:p>
    <w:p w:rsidR="001670EC" w:rsidRPr="003939F3" w:rsidRDefault="001670EC" w:rsidP="00FB0C03">
      <w:r w:rsidRPr="003939F3">
        <w:t>The ARHN provides guidance and technical assistance to the Community Health Planning Committee (CHPC), a regional forum for hospitals, county health departments and community partners, who provide oversight of planning and assessment activities. The group is further comprised of subcommittees developed to address areas specific to hospital, public health and data-specific requirements.  Regular meetings of each subcommittee and the full CHPC have resulted in a systematic approach to community health planning and the development of regional and local strategies to address health care priorities.</w:t>
      </w:r>
    </w:p>
    <w:p w:rsidR="001670EC" w:rsidRDefault="001670EC" w:rsidP="00AA1C8C">
      <w:pPr>
        <w:pStyle w:val="Heading1"/>
      </w:pPr>
      <w:bookmarkStart w:id="2" w:name="_Toc355250943"/>
      <w:r w:rsidRPr="00E41429">
        <w:t>New York State’s Prevention Agenda</w:t>
      </w:r>
      <w:r>
        <w:t xml:space="preserve"> 2013 - 2017</w:t>
      </w:r>
      <w:r>
        <w:rPr>
          <w:rStyle w:val="FootnoteReference"/>
          <w:b w:val="0"/>
        </w:rPr>
        <w:footnoteReference w:id="1"/>
      </w:r>
      <w:bookmarkEnd w:id="2"/>
    </w:p>
    <w:p w:rsidR="001670EC" w:rsidRPr="00A92C2C" w:rsidRDefault="001670EC" w:rsidP="00A92C2C"/>
    <w:p w:rsidR="001670EC" w:rsidRPr="003939F3" w:rsidRDefault="001670EC" w:rsidP="000F2CD3">
      <w:r w:rsidRPr="003939F3">
        <w:rPr>
          <w:i/>
          <w:iCs/>
        </w:rPr>
        <w:t xml:space="preserve">The Prevention Agenda 2013-17 </w:t>
      </w:r>
      <w:r w:rsidRPr="003939F3">
        <w:t>is New York State’s Health Improvement Plan for 2013 through 2017, developed by the New York State Public Health and Health Planning Council (PHHPC) at the request of the Department of Health, in partnership with more than 140 organizations across the state. This plan involves a unique mix of organizations including local health departments, health care providers, health plans, community based organizations, advocacy groups, academia, employers as well as state agencies, schools, and businesses whose activities can influence the health of individuals and communities and address health disparities. This unprecedented collaboration informs a five-year plan designed to demonstrate how communities across the state can work together to improve the health and quality of life for all New Yorkers. Recent natural disasters in New York State that have had an impact on health and well</w:t>
      </w:r>
      <w:r w:rsidR="004B16E5">
        <w:t>-</w:t>
      </w:r>
      <w:r w:rsidRPr="003939F3">
        <w:t>being re-emphasize the need for such a roadmap.</w:t>
      </w:r>
    </w:p>
    <w:p w:rsidR="001670EC" w:rsidRPr="003939F3" w:rsidRDefault="001670EC" w:rsidP="005D3D4A">
      <w:r w:rsidRPr="003939F3">
        <w:t xml:space="preserve">In addition, the </w:t>
      </w:r>
      <w:r w:rsidRPr="003939F3">
        <w:rPr>
          <w:i/>
          <w:iCs/>
        </w:rPr>
        <w:t xml:space="preserve">Prevention Agenda </w:t>
      </w:r>
      <w:r w:rsidRPr="003939F3">
        <w:t xml:space="preserve">serves as a guide to local health departments as they work with their community to develop mandated Community Health Assessments and to hospitals as they develop mandated Community Service Plans and Community Health Needs Assessments required by the Affordable Care Act over the coming year. </w:t>
      </w:r>
      <w:r w:rsidRPr="003939F3">
        <w:rPr>
          <w:i/>
          <w:iCs/>
        </w:rPr>
        <w:t xml:space="preserve">The Prevention Agenda </w:t>
      </w:r>
      <w:r w:rsidRPr="003939F3">
        <w:t xml:space="preserve">vision is New York as the Healthiest State in the Nation. The plan features five priority areas: </w:t>
      </w:r>
    </w:p>
    <w:p w:rsidR="001670EC" w:rsidRPr="003939F3" w:rsidRDefault="001670EC" w:rsidP="00521C49">
      <w:pPr>
        <w:pStyle w:val="ListParagraph"/>
        <w:numPr>
          <w:ilvl w:val="0"/>
          <w:numId w:val="4"/>
        </w:numPr>
      </w:pPr>
      <w:r w:rsidRPr="003939F3">
        <w:t>Prevent chronic disease</w:t>
      </w:r>
    </w:p>
    <w:p w:rsidR="001670EC" w:rsidRPr="003939F3" w:rsidRDefault="001670EC" w:rsidP="00521C49">
      <w:pPr>
        <w:pStyle w:val="ListParagraph"/>
        <w:numPr>
          <w:ilvl w:val="0"/>
          <w:numId w:val="4"/>
        </w:numPr>
      </w:pPr>
      <w:r w:rsidRPr="003939F3">
        <w:t xml:space="preserve">Promote healthy and safe environments </w:t>
      </w:r>
    </w:p>
    <w:p w:rsidR="001670EC" w:rsidRPr="003939F3" w:rsidRDefault="001670EC" w:rsidP="00521C49">
      <w:pPr>
        <w:pStyle w:val="ListParagraph"/>
        <w:numPr>
          <w:ilvl w:val="0"/>
          <w:numId w:val="4"/>
        </w:numPr>
      </w:pPr>
      <w:r w:rsidRPr="003939F3">
        <w:t xml:space="preserve">Promote healthy women, infants and children </w:t>
      </w:r>
    </w:p>
    <w:p w:rsidR="001670EC" w:rsidRPr="003939F3" w:rsidRDefault="001670EC" w:rsidP="00521C49">
      <w:pPr>
        <w:pStyle w:val="ListParagraph"/>
        <w:numPr>
          <w:ilvl w:val="0"/>
          <w:numId w:val="4"/>
        </w:numPr>
      </w:pPr>
      <w:r w:rsidRPr="003939F3">
        <w:t xml:space="preserve">Promote mental health and prevent substance abuse </w:t>
      </w:r>
    </w:p>
    <w:p w:rsidR="001670EC" w:rsidRPr="003939F3" w:rsidRDefault="001670EC" w:rsidP="00521C49">
      <w:pPr>
        <w:pStyle w:val="ListParagraph"/>
        <w:numPr>
          <w:ilvl w:val="0"/>
          <w:numId w:val="4"/>
        </w:numPr>
        <w:rPr>
          <w:b/>
        </w:rPr>
      </w:pPr>
      <w:r w:rsidRPr="003939F3">
        <w:t xml:space="preserve">Prevent HIV, sexually transmitted diseases, vaccine-preventable diseases and healthcare-associated Infections </w:t>
      </w:r>
    </w:p>
    <w:p w:rsidR="001670EC" w:rsidRPr="003939F3" w:rsidRDefault="001670EC">
      <w:pPr>
        <w:rPr>
          <w:b/>
        </w:rPr>
      </w:pPr>
      <w:r w:rsidRPr="003939F3">
        <w:rPr>
          <w:i/>
          <w:iCs/>
        </w:rPr>
        <w:t xml:space="preserve">The Prevention Agenda </w:t>
      </w:r>
      <w:r w:rsidRPr="003939F3">
        <w:t>establishes goals for each priority area and defines indicators to measure progress toward achieving these goals, including reductions in health disparities among racial, ethnic, and socioeconomic groups and persons with disabilities.</w:t>
      </w:r>
    </w:p>
    <w:p w:rsidR="001670EC" w:rsidRDefault="001670EC" w:rsidP="00AA1C8C">
      <w:pPr>
        <w:pStyle w:val="Heading1"/>
        <w:rPr>
          <w:color w:val="C00000"/>
        </w:rPr>
      </w:pPr>
      <w:bookmarkStart w:id="3" w:name="_Toc355250944"/>
      <w:r w:rsidRPr="00026C4E">
        <w:lastRenderedPageBreak/>
        <w:t>Health Ne</w:t>
      </w:r>
      <w:r>
        <w:t>eds Assessment Process</w:t>
      </w:r>
      <w:bookmarkEnd w:id="3"/>
      <w:r>
        <w:t xml:space="preserve"> </w:t>
      </w:r>
    </w:p>
    <w:p w:rsidR="001670EC" w:rsidRPr="003939F3" w:rsidRDefault="001670EC" w:rsidP="00E279F2">
      <w:r w:rsidRPr="003939F3">
        <w:t>The process of identifying the important healthcare needs of the residents of Fulton County involved both data analysis and consultation with key members of the community.  The data was collected from multiple sources including publicly available health indicator data and data collected from a survey conducted by the Adirondack Rural Health Network.</w:t>
      </w:r>
    </w:p>
    <w:p w:rsidR="001670EC" w:rsidRPr="003939F3" w:rsidRDefault="001670EC" w:rsidP="00E279F2">
      <w:r w:rsidRPr="003939F3">
        <w:t>The health indicator data is collected and published by New York State and contains over 300 different health indicators.  Since 2003, The Adirondack Rural Health Network has been compiling this data for the region and producing reports to inform healthcare planning on a regional basis.  Last year, ARHN undertook a project to systemize this data into a relational database to provide improved access and analysis.   The results of this analysis pr</w:t>
      </w:r>
      <w:r>
        <w:t>ovide a statistical assessment o</w:t>
      </w:r>
      <w:r w:rsidR="004B16E5">
        <w:t>f</w:t>
      </w:r>
      <w:r w:rsidRPr="003939F3">
        <w:t xml:space="preserve"> the health status for the region and each county therein.</w:t>
      </w:r>
    </w:p>
    <w:p w:rsidR="001670EC" w:rsidRPr="003939F3" w:rsidRDefault="001670EC" w:rsidP="00E279F2">
      <w:r w:rsidRPr="003939F3">
        <w:t>In December 2012 and January 2013, the Adirondack Regional Health Network (ARHN) conducted a survey of selected stakeholders representing health care and service</w:t>
      </w:r>
      <w:r>
        <w:t xml:space="preserve"> </w:t>
      </w:r>
      <w:r w:rsidRPr="003939F3">
        <w:t>prov</w:t>
      </w:r>
      <w:r>
        <w:t xml:space="preserve">iding agencies within the eight </w:t>
      </w:r>
      <w:r w:rsidRPr="003939F3">
        <w:t>county region. The results of the survey are intended to provide an overview of regional needs and priorities, to inform future planning and the development of a regional health care agenda.  The survey results were presented at both the county and regional levels.</w:t>
      </w:r>
    </w:p>
    <w:p w:rsidR="001670EC" w:rsidRPr="00215EC2" w:rsidRDefault="001670EC" w:rsidP="00E279F2">
      <w:r w:rsidRPr="003939F3">
        <w:t xml:space="preserve">Using the results of the indicator analysis and the surveys, a </w:t>
      </w:r>
      <w:r>
        <w:t xml:space="preserve">local </w:t>
      </w:r>
      <w:r w:rsidRPr="003939F3">
        <w:t xml:space="preserve">stakeholder meeting was convened in May </w:t>
      </w:r>
      <w:r>
        <w:t xml:space="preserve">2013 </w:t>
      </w:r>
      <w:r w:rsidRPr="003939F3">
        <w:t xml:space="preserve">to review the data and </w:t>
      </w:r>
      <w:r>
        <w:t>t</w:t>
      </w:r>
      <w:r w:rsidRPr="003939F3">
        <w:t xml:space="preserve">o identify and prioritize the current healthcare challenges for the residents of Fulton County.  </w:t>
      </w:r>
      <w:r>
        <w:t xml:space="preserve">The Community Health Assessment Team </w:t>
      </w:r>
      <w:r w:rsidRPr="003939F3">
        <w:t xml:space="preserve">(CHAT) was convened </w:t>
      </w:r>
      <w:r>
        <w:t>in July</w:t>
      </w:r>
      <w:r w:rsidR="004B16E5">
        <w:t xml:space="preserve"> 2013</w:t>
      </w:r>
      <w:r>
        <w:t xml:space="preserve"> to analyze the results of the data and information gained from the stakeholder meeting.  Utilizing the dot method of prioritization the CHAT selected the Prevention Agenda priorities and focus areas to be addressed in our Community Health Improvement </w:t>
      </w:r>
      <w:r w:rsidR="004B16E5">
        <w:t>P</w:t>
      </w:r>
      <w:r>
        <w:t>lan</w:t>
      </w:r>
      <w:r w:rsidR="004B16E5">
        <w:t xml:space="preserve"> (CHIP)</w:t>
      </w:r>
      <w:r>
        <w:t xml:space="preserve">.   </w:t>
      </w:r>
      <w:r w:rsidRPr="003939F3">
        <w:t>The CHAT consisted of representatives from Nathan Littauer Hospital and Fulton County Public Health.</w:t>
      </w:r>
    </w:p>
    <w:p w:rsidR="001670EC" w:rsidRDefault="001670EC" w:rsidP="00AA1C8C">
      <w:pPr>
        <w:pStyle w:val="Heading1"/>
      </w:pPr>
      <w:bookmarkStart w:id="4" w:name="_Toc355250945"/>
      <w:r w:rsidRPr="001B5248">
        <w:t>Geography</w:t>
      </w:r>
      <w:bookmarkEnd w:id="4"/>
    </w:p>
    <w:p w:rsidR="001670EC" w:rsidRPr="0093158F" w:rsidRDefault="001670EC" w:rsidP="0093158F"/>
    <w:p w:rsidR="001670EC" w:rsidRPr="003114A5" w:rsidRDefault="001670EC" w:rsidP="0093158F">
      <w:pPr>
        <w:autoSpaceDE w:val="0"/>
        <w:autoSpaceDN w:val="0"/>
        <w:adjustRightInd w:val="0"/>
        <w:contextualSpacing/>
        <w:rPr>
          <w:rFonts w:cs="TimesNewRoman"/>
        </w:rPr>
      </w:pPr>
      <w:r w:rsidRPr="003114A5">
        <w:rPr>
          <w:rFonts w:cs="Tahoma"/>
        </w:rPr>
        <w:t xml:space="preserve">Fulton County is located in the central portion of New York State 45 miles northwest of Albany.  Situated in the foothills of the Adirondacks, it is roughly rectangular in shape encompassing 533 square miles of which 496 square miles is land and 37 square miles is water.  </w:t>
      </w:r>
      <w:r>
        <w:rPr>
          <w:rFonts w:cs="TimesNewRoman"/>
        </w:rPr>
        <w:t xml:space="preserve">About 36 </w:t>
      </w:r>
      <w:r w:rsidRPr="003114A5">
        <w:rPr>
          <w:rFonts w:cs="TimesNewRoman"/>
        </w:rPr>
        <w:t>percent of the County’s land area is occupied by Wild, Forested and Conservation La</w:t>
      </w:r>
      <w:r>
        <w:rPr>
          <w:rFonts w:cs="TimesNewRoman"/>
        </w:rPr>
        <w:t xml:space="preserve">nds and Public Parks. Nearly 28 </w:t>
      </w:r>
      <w:r w:rsidRPr="003114A5">
        <w:rPr>
          <w:rFonts w:cs="TimesNewRoman"/>
        </w:rPr>
        <w:t>percent of the land area is developed for residential, commercial, or ind</w:t>
      </w:r>
      <w:r>
        <w:rPr>
          <w:rFonts w:cs="TimesNewRoman"/>
        </w:rPr>
        <w:t xml:space="preserve">ustrial use, and additionally 6 </w:t>
      </w:r>
      <w:r w:rsidRPr="003114A5">
        <w:rPr>
          <w:rFonts w:cs="TimesNewRoman"/>
        </w:rPr>
        <w:t>percent of the land area is used for agric</w:t>
      </w:r>
      <w:r>
        <w:rPr>
          <w:rFonts w:cs="TimesNewRoman"/>
        </w:rPr>
        <w:t xml:space="preserve">ultural needs.  Approximately 24 </w:t>
      </w:r>
      <w:r w:rsidRPr="003114A5">
        <w:rPr>
          <w:rFonts w:cs="TimesNewRoman"/>
        </w:rPr>
        <w:t>percent of the County’s land area is considered vacant la</w:t>
      </w:r>
      <w:r>
        <w:rPr>
          <w:rFonts w:cs="TimesNewRoman"/>
        </w:rPr>
        <w:t xml:space="preserve">nd or unknown usage.  Finally, 5 </w:t>
      </w:r>
      <w:r w:rsidRPr="003114A5">
        <w:rPr>
          <w:rFonts w:cs="TimesNewRoman"/>
        </w:rPr>
        <w:t>percent of the C</w:t>
      </w:r>
      <w:r>
        <w:rPr>
          <w:rFonts w:cs="TimesNewRoman"/>
        </w:rPr>
        <w:t>ounty’s</w:t>
      </w:r>
      <w:r w:rsidRPr="003114A5">
        <w:rPr>
          <w:rFonts w:cs="TimesNewRoman"/>
        </w:rPr>
        <w:t xml:space="preserve"> land area is used for public and community services; while recreation and entertainment occupies less than one</w:t>
      </w:r>
      <w:r w:rsidR="004B16E5">
        <w:rPr>
          <w:rFonts w:cs="TimesNewRoman"/>
        </w:rPr>
        <w:t xml:space="preserve"> </w:t>
      </w:r>
      <w:r w:rsidRPr="003114A5">
        <w:rPr>
          <w:rFonts w:cs="TimesNewRoman"/>
        </w:rPr>
        <w:t>percent of the land area. (Fulton County Hazard Mitigation Plan 2010)</w:t>
      </w:r>
    </w:p>
    <w:p w:rsidR="001670EC" w:rsidRDefault="001670EC" w:rsidP="0093158F">
      <w:pPr>
        <w:contextualSpacing/>
        <w:rPr>
          <w:rFonts w:cs="Tahoma"/>
        </w:rPr>
      </w:pPr>
    </w:p>
    <w:p w:rsidR="001670EC" w:rsidRPr="003114A5" w:rsidRDefault="001670EC" w:rsidP="0093158F">
      <w:pPr>
        <w:contextualSpacing/>
      </w:pPr>
      <w:r w:rsidRPr="003114A5">
        <w:rPr>
          <w:rFonts w:cs="Tahoma"/>
        </w:rPr>
        <w:t xml:space="preserve">The terrain is a mix of rolling ridges, valleys and fields to the south, and gentle hills to the north. </w:t>
      </w:r>
      <w:r w:rsidRPr="003114A5">
        <w:t xml:space="preserve"> The average mean temperature is 45 degrees Fahrenheit. In January, the mean is 19 degrees and in July, 70 degrees.  </w:t>
      </w:r>
      <w:r w:rsidRPr="003114A5">
        <w:rPr>
          <w:rFonts w:cs="Tahoma"/>
        </w:rPr>
        <w:t xml:space="preserve">The most abundant natural resource in Fulton County is water.  </w:t>
      </w:r>
    </w:p>
    <w:p w:rsidR="001670EC" w:rsidRPr="003114A5" w:rsidRDefault="001670EC" w:rsidP="0093158F">
      <w:pPr>
        <w:contextualSpacing/>
        <w:rPr>
          <w:rFonts w:cs="Tahoma"/>
        </w:rPr>
      </w:pPr>
    </w:p>
    <w:p w:rsidR="001670EC" w:rsidRDefault="001670EC" w:rsidP="0093158F">
      <w:pPr>
        <w:contextualSpacing/>
        <w:rPr>
          <w:rFonts w:cs="Tahoma"/>
        </w:rPr>
      </w:pPr>
      <w:r w:rsidRPr="003114A5">
        <w:rPr>
          <w:rFonts w:cs="Tahoma"/>
        </w:rPr>
        <w:t>Damming of the Sacandaga River in the 1920’s produced the Great Sacandaga Lake.  Originally intended as flood control for the Mohawk and Hudson Rivers, it presently serves as a recreational area and swells the population of Fulton County during the summer months.</w:t>
      </w:r>
    </w:p>
    <w:p w:rsidR="001670EC" w:rsidRPr="003114A5" w:rsidRDefault="001670EC" w:rsidP="0093158F">
      <w:pPr>
        <w:contextualSpacing/>
        <w:rPr>
          <w:rFonts w:cs="Tahoma"/>
        </w:rPr>
      </w:pPr>
    </w:p>
    <w:p w:rsidR="001670EC" w:rsidRDefault="001670EC" w:rsidP="0093158F">
      <w:pPr>
        <w:contextualSpacing/>
        <w:rPr>
          <w:rFonts w:cs="Tahoma"/>
        </w:rPr>
      </w:pPr>
      <w:r w:rsidRPr="003114A5">
        <w:rPr>
          <w:rFonts w:cs="Tahoma"/>
        </w:rPr>
        <w:t xml:space="preserve">Fulton County is bordered by Hamilton County to the north, Herkimer County to the west, Montgomery County to the south and Saratoga County to the east.  Fulton, Montgomery and Hamilton Counties share many of the same medical, educational and service providers and have increased cooperative efforts to meet the needs of our collective residents.  </w:t>
      </w:r>
    </w:p>
    <w:p w:rsidR="001670EC" w:rsidRPr="003114A5" w:rsidRDefault="001670EC" w:rsidP="0093158F">
      <w:pPr>
        <w:contextualSpacing/>
        <w:rPr>
          <w:rFonts w:cs="Tahoma"/>
        </w:rPr>
      </w:pPr>
    </w:p>
    <w:p w:rsidR="001670EC" w:rsidRPr="003114A5" w:rsidRDefault="001670EC" w:rsidP="0093158F">
      <w:pPr>
        <w:autoSpaceDE w:val="0"/>
        <w:autoSpaceDN w:val="0"/>
        <w:adjustRightInd w:val="0"/>
        <w:contextualSpacing/>
        <w:rPr>
          <w:rFonts w:cs="TimesNewRoman"/>
        </w:rPr>
      </w:pPr>
      <w:r w:rsidRPr="003114A5">
        <w:rPr>
          <w:rFonts w:cs="Tahoma"/>
        </w:rPr>
        <w:t xml:space="preserve">The County consists of 15 municipalities: the cities of Gloversville and Johnstown, the villages of Broadalbin, Northville and Mayfield and the towns of Bleecker, Broadalbin, Caroga, Ephratah, Johnstown, Mayfield, Northampton, Oppenheim, Perth and Stratford.  </w:t>
      </w:r>
      <w:r w:rsidRPr="003114A5">
        <w:rPr>
          <w:rFonts w:cs="TimesNewRoman"/>
        </w:rPr>
        <w:t>Approximately 317 square miles of Fulton County lies within the Adirondack Park. The Towns of Bleecker, Caroga, Northampton, and Stratford lie entirely within the Park. The Towns of Broadalbin, Ephratah, Johnstown, Mayfield and Oppenheim partially lie within the Park.</w:t>
      </w:r>
    </w:p>
    <w:p w:rsidR="001670EC" w:rsidRDefault="001670EC" w:rsidP="00AA1C8C">
      <w:pPr>
        <w:pStyle w:val="Heading1"/>
      </w:pPr>
      <w:bookmarkStart w:id="5" w:name="_Toc355250946"/>
      <w:r>
        <w:t>I</w:t>
      </w:r>
      <w:r w:rsidRPr="00F74780">
        <w:t>nfrastructure and Services</w:t>
      </w:r>
      <w:r>
        <w:rPr>
          <w:rStyle w:val="FootnoteReference"/>
          <w:b w:val="0"/>
        </w:rPr>
        <w:footnoteReference w:id="2"/>
      </w:r>
      <w:bookmarkEnd w:id="5"/>
      <w:r>
        <w:t xml:space="preserve"> </w:t>
      </w:r>
    </w:p>
    <w:p w:rsidR="001670EC" w:rsidRPr="00A92C2C" w:rsidRDefault="001670EC" w:rsidP="00A92C2C"/>
    <w:p w:rsidR="001670EC" w:rsidRPr="003114A5" w:rsidRDefault="001670EC" w:rsidP="0093158F">
      <w:r w:rsidRPr="003114A5">
        <w:t>Fulton County has more than 1,200 businesses and industries that provide services and produce yogurt, cheese and other dairy products, bakery items, boating accessories, canvas items, chemicals, cleaning products, furniture, knitted and leather goods, medical equipment, paint, recycled products, refrigeration units, and textiles.</w:t>
      </w:r>
    </w:p>
    <w:p w:rsidR="001670EC" w:rsidRPr="003114A5" w:rsidRDefault="001670EC" w:rsidP="0093158F">
      <w:r w:rsidRPr="003114A5">
        <w:t>Electronic and print media include one daily newspaper, two regional newspapers that have Fulton County editions, and several regional, weekly and monthly newspapers serving specific geographic locations and subscribers. Three county radio stations broadcast both AM and FM programs. Two public access television stations are available, and there is a locally</w:t>
      </w:r>
      <w:r w:rsidR="004B16E5">
        <w:t xml:space="preserve"> </w:t>
      </w:r>
      <w:r w:rsidRPr="003114A5">
        <w:t>owned television</w:t>
      </w:r>
      <w:r>
        <w:t>.</w:t>
      </w:r>
    </w:p>
    <w:p w:rsidR="001670EC" w:rsidRPr="003114A5" w:rsidRDefault="001670EC" w:rsidP="0093158F">
      <w:pPr>
        <w:pStyle w:val="NormalWeb"/>
        <w:rPr>
          <w:rFonts w:ascii="Calibri" w:hAnsi="Calibri"/>
          <w:sz w:val="22"/>
          <w:szCs w:val="22"/>
        </w:rPr>
      </w:pPr>
      <w:r w:rsidRPr="003114A5">
        <w:rPr>
          <w:rFonts w:ascii="Calibri" w:hAnsi="Calibri"/>
          <w:sz w:val="22"/>
          <w:szCs w:val="22"/>
        </w:rPr>
        <w:t>Fulton County is located just north of the New York State Thruway (I-90), west of Interstate 87 and northwest of Interstate 88, provid</w:t>
      </w:r>
      <w:r>
        <w:rPr>
          <w:rFonts w:ascii="Calibri" w:hAnsi="Calibri"/>
          <w:sz w:val="22"/>
          <w:szCs w:val="22"/>
        </w:rPr>
        <w:t>ing</w:t>
      </w:r>
      <w:r w:rsidRPr="003114A5">
        <w:rPr>
          <w:rFonts w:ascii="Calibri" w:hAnsi="Calibri"/>
          <w:sz w:val="22"/>
          <w:szCs w:val="22"/>
        </w:rPr>
        <w:t xml:space="preserve"> direct linkage to all major population areas in the Northeast. State Routes 30, 30A, 10 and 29 connect to the interstate highway</w:t>
      </w:r>
      <w:r>
        <w:rPr>
          <w:rFonts w:ascii="Calibri" w:hAnsi="Calibri"/>
          <w:sz w:val="22"/>
          <w:szCs w:val="22"/>
        </w:rPr>
        <w:t>s</w:t>
      </w:r>
      <w:r w:rsidRPr="003114A5">
        <w:rPr>
          <w:rFonts w:ascii="Calibri" w:hAnsi="Calibri"/>
          <w:sz w:val="22"/>
          <w:szCs w:val="22"/>
        </w:rPr>
        <w:t>.</w:t>
      </w:r>
    </w:p>
    <w:p w:rsidR="001670EC" w:rsidRPr="003114A5" w:rsidRDefault="001670EC" w:rsidP="0093158F">
      <w:pPr>
        <w:pStyle w:val="NormalWeb"/>
        <w:rPr>
          <w:rFonts w:ascii="Calibri" w:hAnsi="Calibri"/>
          <w:sz w:val="22"/>
          <w:szCs w:val="22"/>
        </w:rPr>
      </w:pPr>
      <w:r w:rsidRPr="003114A5">
        <w:rPr>
          <w:rFonts w:ascii="Calibri" w:hAnsi="Calibri"/>
          <w:sz w:val="22"/>
          <w:szCs w:val="22"/>
        </w:rPr>
        <w:t>Fulton County Airport provides 24-hour, year</w:t>
      </w:r>
      <w:r w:rsidR="004B16E5">
        <w:rPr>
          <w:rFonts w:ascii="Calibri" w:hAnsi="Calibri"/>
          <w:sz w:val="22"/>
          <w:szCs w:val="22"/>
        </w:rPr>
        <w:t xml:space="preserve"> </w:t>
      </w:r>
      <w:r w:rsidRPr="003114A5">
        <w:rPr>
          <w:rFonts w:ascii="Calibri" w:hAnsi="Calibri"/>
          <w:sz w:val="22"/>
          <w:szCs w:val="22"/>
        </w:rPr>
        <w:t>round corporate and leisure service.  Taxi or limousine service is offered by local firms. Adirondack Trailways and the Gloversville Transit Authority provide local and long</w:t>
      </w:r>
      <w:r w:rsidR="004B16E5">
        <w:rPr>
          <w:rFonts w:ascii="Calibri" w:hAnsi="Calibri"/>
          <w:sz w:val="22"/>
          <w:szCs w:val="22"/>
        </w:rPr>
        <w:t xml:space="preserve"> </w:t>
      </w:r>
      <w:r w:rsidRPr="003114A5">
        <w:rPr>
          <w:rFonts w:ascii="Calibri" w:hAnsi="Calibri"/>
          <w:sz w:val="22"/>
          <w:szCs w:val="22"/>
        </w:rPr>
        <w:t>distance bus service. (Fulton County Tourism website)</w:t>
      </w:r>
    </w:p>
    <w:p w:rsidR="001670EC" w:rsidRPr="003114A5" w:rsidRDefault="001670EC" w:rsidP="0093158F">
      <w:r w:rsidRPr="003114A5">
        <w:t>Gas and electric is provided by National Grid. Municipal water and sewer facilities are located in Johnstown</w:t>
      </w:r>
      <w:r>
        <w:t xml:space="preserve"> and</w:t>
      </w:r>
      <w:r w:rsidRPr="003114A5">
        <w:t xml:space="preserve"> Gloversville. Gloversville is the only municipality in the county with water fluoridation.  </w:t>
      </w:r>
      <w:r w:rsidRPr="003114A5">
        <w:lastRenderedPageBreak/>
        <w:t xml:space="preserve">Cable television is available through Time Warner Cable and there are satellite television options available. Frontier, the major telephone provider, offers </w:t>
      </w:r>
      <w:r>
        <w:t>Fit TV</w:t>
      </w:r>
      <w:r w:rsidRPr="003114A5">
        <w:t>,</w:t>
      </w:r>
      <w:r w:rsidR="004B16E5">
        <w:t xml:space="preserve"> and</w:t>
      </w:r>
      <w:r w:rsidRPr="003114A5">
        <w:t xml:space="preserve"> internet</w:t>
      </w:r>
      <w:r w:rsidR="004B16E5">
        <w:t xml:space="preserve"> </w:t>
      </w:r>
      <w:r w:rsidRPr="003114A5">
        <w:t>based television. Internet service is provided by Frontier and by Time Warner Cable.</w:t>
      </w:r>
      <w:r>
        <w:t xml:space="preserve">  Satellite companies also provide service for internet.</w:t>
      </w:r>
    </w:p>
    <w:p w:rsidR="001670EC" w:rsidRDefault="001670EC" w:rsidP="00F8290D">
      <w:pPr>
        <w:pStyle w:val="Heading1"/>
      </w:pPr>
      <w:bookmarkStart w:id="6" w:name="_Toc355250947"/>
      <w:r w:rsidRPr="004B21E7">
        <w:t>Health Care Facilities</w:t>
      </w:r>
      <w:bookmarkEnd w:id="6"/>
      <w:r>
        <w:t xml:space="preserve"> </w:t>
      </w:r>
    </w:p>
    <w:p w:rsidR="001670EC" w:rsidRDefault="001670EC" w:rsidP="001670D7">
      <w:pPr>
        <w:spacing w:after="0" w:line="240" w:lineRule="auto"/>
        <w:jc w:val="both"/>
      </w:pPr>
    </w:p>
    <w:p w:rsidR="001670EC" w:rsidRPr="001670D7" w:rsidRDefault="001670EC" w:rsidP="001670D7">
      <w:pPr>
        <w:spacing w:after="0" w:line="240" w:lineRule="auto"/>
        <w:jc w:val="both"/>
      </w:pPr>
      <w:r w:rsidRPr="001670D7">
        <w:t>Nathan Littauer Hospital, located in the City of Gloversville, is the leading provider of health care and the only Article 28 hospital operating in Fulton County.  The hospital has 74 beds for a rate of 13</w:t>
      </w:r>
      <w:r w:rsidR="004B16E5">
        <w:t>3</w:t>
      </w:r>
      <w:r w:rsidRPr="001670D7">
        <w:t>.1 per 100,000 population, substantially lower than the rate for the ARHN region (204.</w:t>
      </w:r>
      <w:r w:rsidR="004B16E5">
        <w:t>9</w:t>
      </w:r>
      <w:r w:rsidRPr="001670D7">
        <w:t>) or Upstate New York (27</w:t>
      </w:r>
      <w:r w:rsidR="004B16E5">
        <w:t>7.4</w:t>
      </w:r>
      <w:r w:rsidRPr="001670D7">
        <w:t xml:space="preserve">).  The County has three nursing homes and three adult care facilities with a total of 360 and 134 beds respectively.  </w:t>
      </w:r>
    </w:p>
    <w:p w:rsidR="001670EC" w:rsidRPr="001670D7" w:rsidRDefault="001670EC" w:rsidP="001670D7">
      <w:pPr>
        <w:spacing w:after="0" w:line="240" w:lineRule="auto"/>
        <w:jc w:val="both"/>
        <w:rPr>
          <w:rFonts w:ascii="Times New Roman" w:hAnsi="Times New Roman"/>
          <w:sz w:val="24"/>
          <w:szCs w:val="24"/>
        </w:rPr>
      </w:pPr>
    </w:p>
    <w:p w:rsidR="001670EC" w:rsidRDefault="001670EC" w:rsidP="001D26B4">
      <w:r>
        <w:t>Residents of the County also have access to facilities in surrounding counties, including Montgomery, Herkimer, Saratoga, Albany, and Schenectady.</w:t>
      </w:r>
    </w:p>
    <w:p w:rsidR="001670EC" w:rsidRDefault="001670EC" w:rsidP="001D26B4">
      <w:r>
        <w:t xml:space="preserve">Residents are served by 13 hospital extension clinics – 10 primary care clinics, one addiction and mental health treatment clinic, one pediatric specific clinic and one ambulatory surgery center.  Nathan Littauer Hospital operates 74 beds, of which 8 are intensive care, 7 maternity, 47 medical surgical and 12 pediatric.  </w:t>
      </w:r>
    </w:p>
    <w:p w:rsidR="001670EC" w:rsidRPr="0079503C" w:rsidRDefault="001670EC" w:rsidP="001D26B4">
      <w:pPr>
        <w:rPr>
          <w:rFonts w:cs="Arial"/>
          <w:color w:val="000000"/>
        </w:rPr>
      </w:pPr>
      <w:r w:rsidRPr="0001670C">
        <w:rPr>
          <w:rFonts w:cs="Arial"/>
          <w:color w:val="000000"/>
        </w:rPr>
        <w:t>In 2011, the ratio of hospital discharges for Fulton County residents was 62% for Nathan Littauer, 36% for St. Mary’s Amsterdam, 1.5% for Saratoga Hospital and .5% for Little Falls Hospital.</w:t>
      </w:r>
      <w:r>
        <w:rPr>
          <w:rFonts w:cs="Arial"/>
          <w:color w:val="000000"/>
        </w:rPr>
        <w:t xml:space="preserve">  </w:t>
      </w:r>
    </w:p>
    <w:tbl>
      <w:tblPr>
        <w:tblW w:w="9026" w:type="dxa"/>
        <w:tblCellMar>
          <w:left w:w="0" w:type="dxa"/>
          <w:right w:w="0" w:type="dxa"/>
        </w:tblCellMar>
        <w:tblLook w:val="00A0"/>
      </w:tblPr>
      <w:tblGrid>
        <w:gridCol w:w="3472"/>
        <w:gridCol w:w="1136"/>
        <w:gridCol w:w="162"/>
        <w:gridCol w:w="1693"/>
        <w:gridCol w:w="1319"/>
        <w:gridCol w:w="1244"/>
      </w:tblGrid>
      <w:tr w:rsidR="001670EC" w:rsidRPr="00680D98" w:rsidTr="00F634A9">
        <w:trPr>
          <w:trHeight w:val="112"/>
        </w:trPr>
        <w:tc>
          <w:tcPr>
            <w:tcW w:w="34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b/>
                <w:bCs/>
                <w:color w:val="FFFFFF"/>
                <w:kern w:val="24"/>
              </w:rPr>
              <w:t xml:space="preserve">Health Care System </w:t>
            </w:r>
          </w:p>
        </w:tc>
        <w:tc>
          <w:tcPr>
            <w:tcW w:w="11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b/>
                <w:bCs/>
                <w:color w:val="FFFFFF"/>
                <w:kern w:val="24"/>
              </w:rPr>
              <w:t>Fulton</w:t>
            </w:r>
          </w:p>
          <w:p w:rsidR="001670EC" w:rsidRPr="00F878EE" w:rsidRDefault="001670EC" w:rsidP="0088118A">
            <w:pPr>
              <w:spacing w:after="0" w:line="240" w:lineRule="auto"/>
              <w:jc w:val="center"/>
              <w:rPr>
                <w:rFonts w:cs="Arial"/>
              </w:rPr>
            </w:pPr>
            <w:r w:rsidRPr="00F878EE">
              <w:rPr>
                <w:rFonts w:cs="Arial"/>
                <w:b/>
                <w:bCs/>
                <w:color w:val="FFFFFF"/>
                <w:kern w:val="24"/>
              </w:rPr>
              <w:t xml:space="preserve">County </w:t>
            </w:r>
          </w:p>
        </w:tc>
        <w:tc>
          <w:tcPr>
            <w:tcW w:w="1855"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b/>
                <w:bCs/>
                <w:color w:val="FFFFFF"/>
                <w:kern w:val="24"/>
              </w:rPr>
              <w:t>Montgomery</w:t>
            </w:r>
          </w:p>
          <w:p w:rsidR="001670EC" w:rsidRPr="00F878EE" w:rsidRDefault="001670EC" w:rsidP="0088118A">
            <w:pPr>
              <w:spacing w:after="0" w:line="240" w:lineRule="auto"/>
              <w:jc w:val="center"/>
              <w:rPr>
                <w:rFonts w:cs="Arial"/>
              </w:rPr>
            </w:pPr>
            <w:r w:rsidRPr="00F878EE">
              <w:rPr>
                <w:rFonts w:cs="Arial"/>
                <w:b/>
                <w:bCs/>
                <w:color w:val="FFFFFF"/>
                <w:kern w:val="24"/>
              </w:rPr>
              <w:t xml:space="preserve">County </w:t>
            </w:r>
          </w:p>
        </w:tc>
        <w:tc>
          <w:tcPr>
            <w:tcW w:w="131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b/>
                <w:bCs/>
                <w:color w:val="FFFFFF"/>
                <w:kern w:val="24"/>
              </w:rPr>
              <w:t xml:space="preserve">ARHN </w:t>
            </w:r>
          </w:p>
          <w:p w:rsidR="001670EC" w:rsidRPr="00F878EE" w:rsidRDefault="001670EC" w:rsidP="0088118A">
            <w:pPr>
              <w:spacing w:after="0" w:line="240" w:lineRule="auto"/>
              <w:jc w:val="center"/>
              <w:rPr>
                <w:rFonts w:cs="Arial"/>
              </w:rPr>
            </w:pPr>
            <w:r w:rsidRPr="00F878EE">
              <w:rPr>
                <w:rFonts w:cs="Arial"/>
                <w:b/>
                <w:bCs/>
                <w:color w:val="FFFFFF"/>
                <w:kern w:val="24"/>
              </w:rPr>
              <w:t xml:space="preserve">Counties </w:t>
            </w:r>
          </w:p>
        </w:tc>
        <w:tc>
          <w:tcPr>
            <w:tcW w:w="12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b/>
                <w:bCs/>
                <w:color w:val="FFFFFF"/>
                <w:kern w:val="24"/>
              </w:rPr>
              <w:t xml:space="preserve">Upstate </w:t>
            </w:r>
          </w:p>
          <w:p w:rsidR="001670EC" w:rsidRPr="00F878EE" w:rsidRDefault="001670EC" w:rsidP="0088118A">
            <w:pPr>
              <w:spacing w:after="0" w:line="240" w:lineRule="auto"/>
              <w:jc w:val="center"/>
              <w:rPr>
                <w:rFonts w:cs="Arial"/>
              </w:rPr>
            </w:pPr>
            <w:r w:rsidRPr="00F878EE">
              <w:rPr>
                <w:rFonts w:cs="Arial"/>
                <w:b/>
                <w:bCs/>
                <w:color w:val="FFFFFF"/>
                <w:kern w:val="24"/>
              </w:rPr>
              <w:t xml:space="preserve">New York </w:t>
            </w:r>
          </w:p>
        </w:tc>
      </w:tr>
      <w:tr w:rsidR="001670EC" w:rsidRPr="00680D98" w:rsidTr="00F634A9">
        <w:trPr>
          <w:trHeight w:val="65"/>
        </w:trPr>
        <w:tc>
          <w:tcPr>
            <w:tcW w:w="9026" w:type="dxa"/>
            <w:gridSpan w:val="6"/>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b/>
                <w:bCs/>
                <w:color w:val="000000"/>
                <w:kern w:val="24"/>
              </w:rPr>
              <w:t>Health Care Workforce (per 100,000)</w:t>
            </w:r>
          </w:p>
        </w:tc>
      </w:tr>
      <w:tr w:rsidR="001670EC" w:rsidRPr="00680D98" w:rsidTr="00F634A9">
        <w:trPr>
          <w:trHeight w:val="65"/>
        </w:trPr>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color w:val="000000"/>
                <w:kern w:val="24"/>
              </w:rPr>
              <w:t>Total Physician FTEs</w:t>
            </w:r>
          </w:p>
        </w:tc>
        <w:tc>
          <w:tcPr>
            <w:tcW w:w="129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155.0 </w:t>
            </w:r>
          </w:p>
        </w:tc>
        <w:tc>
          <w:tcPr>
            <w:tcW w:w="1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190.2 </w:t>
            </w:r>
          </w:p>
        </w:tc>
        <w:tc>
          <w:tcPr>
            <w:tcW w:w="13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218.0 </w:t>
            </w:r>
          </w:p>
        </w:tc>
        <w:tc>
          <w:tcPr>
            <w:tcW w:w="12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304.7 </w:t>
            </w:r>
          </w:p>
        </w:tc>
      </w:tr>
      <w:tr w:rsidR="001670EC" w:rsidRPr="00680D98" w:rsidTr="00F634A9">
        <w:trPr>
          <w:trHeight w:val="65"/>
        </w:trPr>
        <w:tc>
          <w:tcPr>
            <w:tcW w:w="34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color w:val="000000"/>
                <w:kern w:val="24"/>
              </w:rPr>
              <w:t>Primary Care FTEs</w:t>
            </w:r>
          </w:p>
        </w:tc>
        <w:tc>
          <w:tcPr>
            <w:tcW w:w="129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52.1 </w:t>
            </w:r>
          </w:p>
        </w:tc>
        <w:tc>
          <w:tcPr>
            <w:tcW w:w="1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83.4 </w:t>
            </w:r>
          </w:p>
        </w:tc>
        <w:tc>
          <w:tcPr>
            <w:tcW w:w="13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100.2 </w:t>
            </w:r>
          </w:p>
        </w:tc>
        <w:tc>
          <w:tcPr>
            <w:tcW w:w="12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108.9 </w:t>
            </w:r>
          </w:p>
        </w:tc>
      </w:tr>
      <w:tr w:rsidR="001670EC" w:rsidRPr="00680D98" w:rsidTr="00F634A9">
        <w:trPr>
          <w:trHeight w:val="112"/>
        </w:trPr>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color w:val="000000"/>
                <w:kern w:val="24"/>
              </w:rPr>
              <w:t xml:space="preserve">Obstetrics/Gynecology FTEs (per 100,000 females 15 – 44) </w:t>
            </w:r>
          </w:p>
        </w:tc>
        <w:tc>
          <w:tcPr>
            <w:tcW w:w="129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26.2 </w:t>
            </w:r>
          </w:p>
        </w:tc>
        <w:tc>
          <w:tcPr>
            <w:tcW w:w="1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28.5 </w:t>
            </w:r>
          </w:p>
        </w:tc>
        <w:tc>
          <w:tcPr>
            <w:tcW w:w="13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49.1 </w:t>
            </w:r>
          </w:p>
        </w:tc>
        <w:tc>
          <w:tcPr>
            <w:tcW w:w="12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62.5 </w:t>
            </w:r>
          </w:p>
        </w:tc>
      </w:tr>
      <w:tr w:rsidR="001670EC" w:rsidRPr="00680D98" w:rsidTr="00F634A9">
        <w:trPr>
          <w:trHeight w:val="65"/>
        </w:trPr>
        <w:tc>
          <w:tcPr>
            <w:tcW w:w="9026"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b/>
                <w:bCs/>
                <w:color w:val="000000"/>
                <w:kern w:val="24"/>
              </w:rPr>
              <w:t xml:space="preserve">Health Care Beds (per 100,000) </w:t>
            </w:r>
          </w:p>
        </w:tc>
      </w:tr>
      <w:tr w:rsidR="001670EC" w:rsidRPr="00680D98" w:rsidTr="00F634A9">
        <w:trPr>
          <w:trHeight w:val="65"/>
        </w:trPr>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color w:val="000000"/>
                <w:kern w:val="24"/>
              </w:rPr>
              <w:t xml:space="preserve">Total Hospital Beds </w:t>
            </w:r>
          </w:p>
        </w:tc>
        <w:tc>
          <w:tcPr>
            <w:tcW w:w="129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133.4 </w:t>
            </w:r>
          </w:p>
        </w:tc>
        <w:tc>
          <w:tcPr>
            <w:tcW w:w="1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260.1 </w:t>
            </w:r>
          </w:p>
        </w:tc>
        <w:tc>
          <w:tcPr>
            <w:tcW w:w="13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204.9 </w:t>
            </w:r>
          </w:p>
        </w:tc>
        <w:tc>
          <w:tcPr>
            <w:tcW w:w="12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277.4 </w:t>
            </w:r>
          </w:p>
        </w:tc>
      </w:tr>
      <w:tr w:rsidR="001670EC" w:rsidRPr="00680D98" w:rsidTr="00F634A9">
        <w:trPr>
          <w:trHeight w:val="65"/>
        </w:trPr>
        <w:tc>
          <w:tcPr>
            <w:tcW w:w="34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color w:val="000000"/>
                <w:kern w:val="24"/>
              </w:rPr>
              <w:t xml:space="preserve">Total Nursing Home Beds </w:t>
            </w:r>
          </w:p>
        </w:tc>
        <w:tc>
          <w:tcPr>
            <w:tcW w:w="129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649.2 </w:t>
            </w:r>
          </w:p>
        </w:tc>
        <w:tc>
          <w:tcPr>
            <w:tcW w:w="1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1180.4 </w:t>
            </w:r>
          </w:p>
        </w:tc>
        <w:tc>
          <w:tcPr>
            <w:tcW w:w="13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526.1 </w:t>
            </w:r>
          </w:p>
        </w:tc>
        <w:tc>
          <w:tcPr>
            <w:tcW w:w="12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641.2 </w:t>
            </w:r>
          </w:p>
        </w:tc>
      </w:tr>
      <w:tr w:rsidR="001670EC" w:rsidRPr="00680D98" w:rsidTr="00F634A9">
        <w:trPr>
          <w:trHeight w:val="65"/>
        </w:trPr>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rPr>
                <w:rFonts w:cs="Arial"/>
              </w:rPr>
            </w:pPr>
            <w:r w:rsidRPr="00F878EE">
              <w:rPr>
                <w:rFonts w:cs="Arial"/>
                <w:color w:val="000000"/>
                <w:kern w:val="24"/>
              </w:rPr>
              <w:t xml:space="preserve">Total Adult Home Beds </w:t>
            </w:r>
          </w:p>
        </w:tc>
        <w:tc>
          <w:tcPr>
            <w:tcW w:w="129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241.6 </w:t>
            </w:r>
          </w:p>
        </w:tc>
        <w:tc>
          <w:tcPr>
            <w:tcW w:w="1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288.1 </w:t>
            </w:r>
          </w:p>
        </w:tc>
        <w:tc>
          <w:tcPr>
            <w:tcW w:w="13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190.8 </w:t>
            </w:r>
          </w:p>
        </w:tc>
        <w:tc>
          <w:tcPr>
            <w:tcW w:w="12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88118A">
            <w:pPr>
              <w:spacing w:after="0" w:line="240" w:lineRule="auto"/>
              <w:jc w:val="center"/>
              <w:rPr>
                <w:rFonts w:cs="Arial"/>
              </w:rPr>
            </w:pPr>
            <w:r w:rsidRPr="00F878EE">
              <w:rPr>
                <w:rFonts w:cs="Arial"/>
                <w:color w:val="000000"/>
                <w:kern w:val="24"/>
              </w:rPr>
              <w:t xml:space="preserve">281.9 </w:t>
            </w:r>
          </w:p>
        </w:tc>
      </w:tr>
    </w:tbl>
    <w:p w:rsidR="001670EC" w:rsidRDefault="001670EC" w:rsidP="001670D7">
      <w:pPr>
        <w:spacing w:after="0" w:line="240" w:lineRule="auto"/>
        <w:jc w:val="both"/>
      </w:pPr>
    </w:p>
    <w:p w:rsidR="001670EC" w:rsidRPr="001670D7" w:rsidRDefault="004B16E5" w:rsidP="001670D7">
      <w:pPr>
        <w:spacing w:after="0" w:line="240" w:lineRule="auto"/>
        <w:jc w:val="both"/>
      </w:pPr>
      <w:r>
        <w:t>I</w:t>
      </w:r>
      <w:r w:rsidR="001670EC" w:rsidRPr="001670D7">
        <w:t>n Fulton County</w:t>
      </w:r>
      <w:r>
        <w:t>, the rate of Full Time Equivalent (FTE) primary care physicians is 52.1</w:t>
      </w:r>
      <w:r w:rsidR="001670EC" w:rsidRPr="001670D7">
        <w:t xml:space="preserve"> per 100,000 population</w:t>
      </w:r>
      <w:r>
        <w:t>;</w:t>
      </w:r>
      <w:r w:rsidR="001670EC" w:rsidRPr="001670D7">
        <w:t xml:space="preserve"> lower than both the ARHN region (</w:t>
      </w:r>
      <w:r>
        <w:t>100.2</w:t>
      </w:r>
      <w:r w:rsidR="001670EC" w:rsidRPr="001670D7">
        <w:t>) and the Upstate New York (108.</w:t>
      </w:r>
      <w:r>
        <w:t>9</w:t>
      </w:r>
      <w:r w:rsidR="001670EC" w:rsidRPr="001670D7">
        <w:t xml:space="preserve">) rates. There are 612 registered nurses, 284 licensed practical nurses, and 69 physicians licensed to practice in the County.  </w:t>
      </w:r>
    </w:p>
    <w:p w:rsidR="001670EC" w:rsidRDefault="001670EC" w:rsidP="00F878EE"/>
    <w:p w:rsidR="001670EC" w:rsidRPr="001670D7" w:rsidRDefault="001670EC" w:rsidP="001670D7">
      <w:pPr>
        <w:rPr>
          <w:rFonts w:ascii="Arial" w:hAnsi="Arial" w:cs="Arial"/>
          <w:color w:val="000000"/>
        </w:rPr>
      </w:pPr>
      <w:r>
        <w:lastRenderedPageBreak/>
        <w:t>According to the U.S. Department of Health and Human Services Health Resources and Services Administration (HRSA) data, Fulton County is considered to be a Health Professional Shortage area for Primary Care, a Mental Health Professional Shortage Area for Medicaid recipients, and the Town of Oppenheim is considered a Medically Underserved Area.</w:t>
      </w:r>
      <w:r w:rsidRPr="00F878EE">
        <w:rPr>
          <w:rFonts w:ascii="Arial" w:hAnsi="Arial" w:cs="Arial"/>
          <w:i/>
          <w:iCs/>
          <w:color w:val="FFFFFF"/>
          <w:sz w:val="21"/>
          <w:szCs w:val="21"/>
        </w:rPr>
        <w:t xml:space="preserve"> Services Administration </w:t>
      </w:r>
      <w:bookmarkStart w:id="7" w:name="_Toc355250948"/>
    </w:p>
    <w:p w:rsidR="001670EC" w:rsidRPr="001670D7" w:rsidRDefault="001670EC" w:rsidP="001670D7">
      <w:pPr>
        <w:pStyle w:val="Heading1"/>
      </w:pPr>
      <w:r w:rsidRPr="00C13AAC">
        <w:t>Population and Demographics</w:t>
      </w:r>
      <w:bookmarkEnd w:id="7"/>
      <w:r>
        <w:t xml:space="preserve"> </w:t>
      </w:r>
    </w:p>
    <w:p w:rsidR="001670EC" w:rsidRPr="00372F8D" w:rsidRDefault="001670EC" w:rsidP="00A92C2C"/>
    <w:p w:rsidR="001670EC" w:rsidRDefault="001670EC" w:rsidP="00372F8D">
      <w:pPr>
        <w:spacing w:after="0" w:line="240" w:lineRule="auto"/>
        <w:jc w:val="both"/>
      </w:pPr>
      <w:r w:rsidRPr="00372F8D">
        <w:t>Fulton County’s population is nearly 55,500, making it the fifth most populous county in the Adirondack Rural Health Network (ARHN) and the 45</w:t>
      </w:r>
      <w:r w:rsidRPr="00372F8D">
        <w:rPr>
          <w:vertAlign w:val="superscript"/>
        </w:rPr>
        <w:t>th</w:t>
      </w:r>
      <w:r w:rsidRPr="00372F8D">
        <w:t xml:space="preserve"> most populous in the state. </w:t>
      </w:r>
    </w:p>
    <w:p w:rsidR="001670EC" w:rsidRPr="00372F8D" w:rsidRDefault="001670EC" w:rsidP="00372F8D">
      <w:pPr>
        <w:spacing w:after="0" w:line="240" w:lineRule="auto"/>
        <w:jc w:val="both"/>
      </w:pPr>
    </w:p>
    <w:p w:rsidR="001670EC" w:rsidRDefault="001670EC" w:rsidP="001D26B4">
      <w:r>
        <w:t xml:space="preserve">According to the 2010 census, Fulton County’s population is 55,456, with 27,608 male and 27,848 female residents.  15.9% of the population is 65 and over and 22.4% is 17 and younger. The median age is 41.9.  </w:t>
      </w:r>
    </w:p>
    <w:p w:rsidR="001670EC" w:rsidRPr="002E6147" w:rsidRDefault="001670EC" w:rsidP="002E6147">
      <w:pPr>
        <w:spacing w:after="240"/>
        <w:rPr>
          <w:rFonts w:cs="Tahoma"/>
          <w:color w:val="000000"/>
        </w:rPr>
      </w:pPr>
      <w:r w:rsidRPr="002E6147">
        <w:rPr>
          <w:rFonts w:cs="Tahoma"/>
          <w:color w:val="000000"/>
        </w:rPr>
        <w:t xml:space="preserve">The population </w:t>
      </w:r>
      <w:r>
        <w:rPr>
          <w:rFonts w:cs="Tahoma"/>
          <w:color w:val="000000"/>
        </w:rPr>
        <w:t xml:space="preserve">increased </w:t>
      </w:r>
      <w:r w:rsidRPr="002E6147">
        <w:rPr>
          <w:rFonts w:cs="Tahoma"/>
          <w:color w:val="000000"/>
        </w:rPr>
        <w:t xml:space="preserve">from 55,073 in 2000 resulting in a growth of 0.7% between 2000 and the current year. </w:t>
      </w:r>
      <w:r w:rsidRPr="002E6147">
        <w:rPr>
          <w:rFonts w:cs="Tahoma"/>
        </w:rPr>
        <w:t>The population has been very stable over the past 30 years, ranging from 55,153 in 1980 to the current population of 55,456.</w:t>
      </w:r>
      <w:r>
        <w:rPr>
          <w:rFonts w:cs="Tahoma"/>
        </w:rPr>
        <w:t xml:space="preserve">  The City of Gloversville has the highest population, followed by the City of Johnstown and the Town of Johnstown.</w:t>
      </w:r>
    </w:p>
    <w:p w:rsidR="001670EC" w:rsidRDefault="001670EC" w:rsidP="001D26B4">
      <w:pPr>
        <w:rPr>
          <w:rFonts w:cs="Tahoma"/>
        </w:rPr>
      </w:pPr>
      <w:r w:rsidRPr="001D26B4">
        <w:rPr>
          <w:rFonts w:cs="Tahoma"/>
        </w:rPr>
        <w:t xml:space="preserve">There is little racial diversity in Fulton County.  </w:t>
      </w:r>
      <w:r>
        <w:rPr>
          <w:rFonts w:cs="Tahoma"/>
        </w:rPr>
        <w:t xml:space="preserve">94% are white, 1.8% black non-Hispanic, and 2.4% Hispanic.  </w:t>
      </w:r>
      <w:r w:rsidRPr="001D26B4">
        <w:t>95%</w:t>
      </w:r>
      <w:r w:rsidR="004B16E5">
        <w:t xml:space="preserve"> of Fulton County residents</w:t>
      </w:r>
      <w:r w:rsidRPr="001D26B4">
        <w:t xml:space="preserve"> speak only English at home</w:t>
      </w:r>
      <w:r>
        <w:t>.</w:t>
      </w:r>
      <w:r w:rsidRPr="001D26B4">
        <w:rPr>
          <w:rFonts w:cs="Tahoma"/>
        </w:rPr>
        <w:t xml:space="preserve"> There is an infrequent need for translation services or educational materials in languages other than English. A small number of Old Order Amish families reside in the town of Ephratah.  These families are connected with the district located in Montgomery County and their children attend Amish schools. </w:t>
      </w:r>
    </w:p>
    <w:p w:rsidR="001670EC" w:rsidRDefault="001670EC" w:rsidP="001D26B4">
      <w:r>
        <w:t>The time when Fulton County was nationally recognized as the premier center for glove manufacturing is long past.  The primary employment in the county is in the healthcare and social assistance sector</w:t>
      </w:r>
      <w:r w:rsidR="004B16E5">
        <w:t>;</w:t>
      </w:r>
      <w:r>
        <w:t xml:space="preserve"> manufacturing accounts for only 10.6% of the workforce.  In 2011, the unemployment rate was 9.3%.</w:t>
      </w:r>
    </w:p>
    <w:p w:rsidR="001670EC" w:rsidRDefault="001670EC" w:rsidP="00783A1A">
      <w:r>
        <w:t xml:space="preserve">The poverty rate and level of educational attainment for a community strongly influence the community’s health.  Although 83.4% percent of Fulton County residents 25 years or older had high school diplomas in 2011, only 14.9% had attained a bachelors degree or higher level of education.  </w:t>
      </w:r>
    </w:p>
    <w:p w:rsidR="001670EC" w:rsidRDefault="001670EC" w:rsidP="001D26B4">
      <w:r>
        <w:t>Fulton County is disproportionally affected by poverty. 16.5% of the population is under the federal poverty level.  21.6 % of families with children lived at or below the federal poverty level in Fulton County compared with a state-wide 18%.  Almost 41.6% of households with children headed by a female with no husband present lived below the poverty level.  25% of the population received Medicaid and 43.3% of children were eligible for free or reduced lunch.    In the City of Gloversville, residents of the area surrounding low income housing had a poverty rate of 36.2%, and a less than a high school education rate of 30.2%.</w:t>
      </w:r>
    </w:p>
    <w:p w:rsidR="001670EC" w:rsidRDefault="001670EC" w:rsidP="001D26B4">
      <w:r>
        <w:t>The median household income for Fulton County rose by 7% between 2009 and 2011. However</w:t>
      </w:r>
      <w:r w:rsidR="004B16E5">
        <w:t xml:space="preserve">, </w:t>
      </w:r>
      <w:r>
        <w:t xml:space="preserve">the 2011 median household income for Fulton County was $45,289 compared to the state-wide median of $55,246. </w:t>
      </w:r>
    </w:p>
    <w:p w:rsidR="001670EC" w:rsidRDefault="001670EC" w:rsidP="001D26B4">
      <w:r>
        <w:lastRenderedPageBreak/>
        <w:t>Despite high levels of poverty, Fulton County has affordable housing.  Only 30% of residents have monthly housing costs 30% or more of household income</w:t>
      </w:r>
    </w:p>
    <w:p w:rsidR="001670EC" w:rsidRDefault="001670EC" w:rsidP="001D26B4">
      <w:r>
        <w:t>The age of the housing stock</w:t>
      </w:r>
      <w:r w:rsidRPr="00870659">
        <w:t xml:space="preserve"> </w:t>
      </w:r>
      <w:r>
        <w:t xml:space="preserve">in Fulton County, combined with low real estate values contributes to the high rate of lead poisoning among our children.   </w:t>
      </w:r>
    </w:p>
    <w:p w:rsidR="001670EC" w:rsidRDefault="001670EC" w:rsidP="00AA1C8C">
      <w:pPr>
        <w:pStyle w:val="Heading1"/>
        <w:rPr>
          <w:color w:val="C00000"/>
          <w:sz w:val="24"/>
          <w:szCs w:val="24"/>
          <w:u w:val="single"/>
        </w:rPr>
      </w:pPr>
      <w:bookmarkStart w:id="8" w:name="_Toc355250949"/>
      <w:r w:rsidRPr="00026C4E">
        <w:t>Health</w:t>
      </w:r>
      <w:r>
        <w:t>care Challenges in Fulton County</w:t>
      </w:r>
      <w:bookmarkEnd w:id="8"/>
      <w:r>
        <w:t xml:space="preserve">   </w:t>
      </w:r>
    </w:p>
    <w:p w:rsidR="001670EC" w:rsidRPr="00CE34D9" w:rsidRDefault="001670EC" w:rsidP="008B5739"/>
    <w:p w:rsidR="001670EC" w:rsidRPr="00CE34D9" w:rsidRDefault="001670EC" w:rsidP="008B5739">
      <w:r w:rsidRPr="00CE34D9">
        <w:t>An analysis of over 300 health indicators demonstrates that Fulton County has significant challenges</w:t>
      </w:r>
      <w:r>
        <w:t>.</w:t>
      </w:r>
      <w:r w:rsidRPr="00CE34D9">
        <w:t xml:space="preserve"> Fulton County ranks as the 53</w:t>
      </w:r>
      <w:r w:rsidRPr="00CE34D9">
        <w:rPr>
          <w:vertAlign w:val="superscript"/>
        </w:rPr>
        <w:t>rd</w:t>
      </w:r>
      <w:r w:rsidRPr="00CE34D9">
        <w:t xml:space="preserve"> overall healthiest county in New York State and 11</w:t>
      </w:r>
      <w:r w:rsidRPr="00CE34D9">
        <w:rPr>
          <w:vertAlign w:val="superscript"/>
        </w:rPr>
        <w:t>TH</w:t>
      </w:r>
      <w:r w:rsidRPr="00CE34D9">
        <w:t xml:space="preserve"> in the greater region.  The leading cause of premature death in Fulton County is cancer, followed by heart disease.   </w:t>
      </w:r>
    </w:p>
    <w:p w:rsidR="001670EC" w:rsidRPr="00CE34D9" w:rsidRDefault="001670EC" w:rsidP="001670D7">
      <w:pPr>
        <w:spacing w:after="0" w:line="240" w:lineRule="auto"/>
        <w:jc w:val="both"/>
        <w:rPr>
          <w:u w:val="single"/>
        </w:rPr>
      </w:pPr>
      <w:r w:rsidRPr="00CE34D9">
        <w:rPr>
          <w:u w:val="single"/>
        </w:rPr>
        <w:t>Health Disparities:</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pPr>
      <w:r w:rsidRPr="00CE34D9">
        <w:t>While there are not significant health disparities based on race and ethnicity in Fulton County, there are significant access to care issues. The rate of age-adjusted preventable hospitalizations</w:t>
      </w:r>
      <w:r w:rsidRPr="00CE34D9">
        <w:rPr>
          <w:rStyle w:val="FootnoteReference"/>
        </w:rPr>
        <w:footnoteReference w:id="3"/>
      </w:r>
      <w:r w:rsidRPr="00CE34D9">
        <w:t xml:space="preserve"> per 100,000 population (161.6) is higher than in the ARHN region (147.3) and Upstate New York (138.9), and higher than the Prevention Agenda benchmark (133.3).  The rate of ED visits per 100,000 population in Fulton County (5,244.3) is significantly higher than the ARHN region (3,673.1) and Upstate New York (3,534.4) rates.  The percentage of adults</w:t>
      </w:r>
      <w:r w:rsidRPr="00CE34D9">
        <w:rPr>
          <w:rStyle w:val="FootnoteReference"/>
        </w:rPr>
        <w:footnoteReference w:id="4"/>
      </w:r>
      <w:r w:rsidRPr="00CE34D9">
        <w:t xml:space="preserve"> with a regular health care provider was slightly lower than the ARHN region as well as the Prevention Agenda benchmark.   Both the percentages of adults with poor physical health and physical limitations were higher than the ARHN region and Upstate New York percentages.</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rPr>
          <w:u w:val="single"/>
        </w:rPr>
      </w:pPr>
      <w:r w:rsidRPr="00CE34D9">
        <w:rPr>
          <w:u w:val="single"/>
        </w:rPr>
        <w:t>Healthy and Safe Environment:</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pPr>
      <w:r w:rsidRPr="00CE34D9">
        <w:t>Falls and occupational injuries are a challenge for Fulton County residents. The rate of hospitalizations due to falls for people ages 65 and older per 100,000 population was slightly higher (205.3) than the Prevention Agenda benchmark (204.6).  Hospitalizations due to falls for ages under 10, 10 to 14, and 25 to 64 per 100,000 population were also all above the ARHN region and Upstate New York rates.  Additionally, the rate of ED visits for falls for children ages 1 to 4 per 10,000 population in Fulton County (782.9) was substantially higher than the Prevention Agenda benchmark of 429.1 per 10,000 population.</w:t>
      </w:r>
    </w:p>
    <w:p w:rsidR="001670EC" w:rsidRPr="00CE34D9" w:rsidRDefault="001670EC" w:rsidP="001670D7">
      <w:pPr>
        <w:spacing w:after="0" w:line="240" w:lineRule="auto"/>
        <w:jc w:val="both"/>
      </w:pPr>
    </w:p>
    <w:p w:rsidR="001670EC" w:rsidRPr="00CE34D9" w:rsidRDefault="001670EC" w:rsidP="001670D7">
      <w:pPr>
        <w:spacing w:after="0" w:line="240" w:lineRule="auto"/>
        <w:jc w:val="both"/>
      </w:pPr>
      <w:r w:rsidRPr="00CE34D9">
        <w:t xml:space="preserve">The rate of occupational injury ED visits for working adolescents ages 15 to 19 per 100,000 was substantially higher than the respective rates for the ARHN region, Upstate New York, and the Prevention Agenda benchmark. Additionally, work related hospitalizations, asbestosis hospitalizations, and elevated blood lead levels per 10,000 population were all higher than their respective Upstate New York rates.  Finally, the rates of unintentional injury hospitalizations for all ages and for ages 14 and under were all higher than their respective rates per 10,000 for the ARHN region and for Upstate New York. </w:t>
      </w:r>
    </w:p>
    <w:p w:rsidR="001670EC" w:rsidRDefault="001670EC" w:rsidP="001670D7">
      <w:pPr>
        <w:spacing w:after="0" w:line="240" w:lineRule="auto"/>
        <w:jc w:val="both"/>
      </w:pPr>
    </w:p>
    <w:p w:rsidR="001670EC" w:rsidRDefault="001670EC" w:rsidP="001670D7">
      <w:pPr>
        <w:spacing w:after="0" w:line="240" w:lineRule="auto"/>
        <w:jc w:val="both"/>
      </w:pPr>
    </w:p>
    <w:p w:rsidR="001670EC" w:rsidRDefault="001670EC" w:rsidP="001670D7">
      <w:pPr>
        <w:spacing w:after="0" w:line="240" w:lineRule="auto"/>
        <w:jc w:val="both"/>
      </w:pPr>
    </w:p>
    <w:p w:rsidR="001670EC" w:rsidRPr="00CE34D9" w:rsidRDefault="001670EC" w:rsidP="001670D7">
      <w:pPr>
        <w:spacing w:after="0" w:line="240" w:lineRule="auto"/>
        <w:jc w:val="both"/>
      </w:pPr>
    </w:p>
    <w:p w:rsidR="001670EC" w:rsidRPr="00CE34D9" w:rsidRDefault="001670EC" w:rsidP="001670D7">
      <w:pPr>
        <w:spacing w:after="0" w:line="240" w:lineRule="auto"/>
        <w:jc w:val="both"/>
        <w:rPr>
          <w:u w:val="single"/>
        </w:rPr>
      </w:pPr>
      <w:r w:rsidRPr="00CE34D9">
        <w:rPr>
          <w:u w:val="single"/>
        </w:rPr>
        <w:lastRenderedPageBreak/>
        <w:t>Chronic Disease:</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pPr>
      <w:r w:rsidRPr="00CE34D9">
        <w:t xml:space="preserve">Obesity and smoking rates are high in Fulton County.  More than 27% of adults in the County are obese, higher than the Prevention Agenda benchmark of 23% and more than 19% of public school children are obese, higher than the Prevention Agenda benchmark of 16.7%.  Nearly one-third of age-adjusted adults have ever been diagnosed with high blood pressure, compared to approximately 26% in New York State as a whole.  The rates of cardiovascular, diseases of the heart, coronary heart disease, and congestive heart failure deaths per 100,000 and hospitalizations per 10,000 were all higher than their respective rates for the ARHN region and for Upstate New York.  The rates of stroke deaths per 100,000 and stroke hospitalizations per 10,000 were both higher than their respective rates for the ARHN region and for Upstate New York. </w:t>
      </w:r>
    </w:p>
    <w:p w:rsidR="001670EC" w:rsidRPr="00CE34D9" w:rsidRDefault="001670EC" w:rsidP="001670D7">
      <w:pPr>
        <w:spacing w:after="0" w:line="240" w:lineRule="auto"/>
        <w:jc w:val="both"/>
      </w:pPr>
    </w:p>
    <w:p w:rsidR="001670EC" w:rsidRPr="00CE34D9" w:rsidRDefault="001670EC" w:rsidP="001670D7">
      <w:pPr>
        <w:spacing w:after="0" w:line="240" w:lineRule="auto"/>
        <w:jc w:val="both"/>
      </w:pPr>
      <w:r w:rsidRPr="00CE34D9">
        <w:t>Nearly 25% of adults in Fulton County smoke, higher than the percentages in the ARHN region (21.4%) or Upstate New York (18.5%) and significantly higher than the Prevention Agenda benchmark of 15.0%.  The rates of chronic lower respiratory disease deaths per 100,000 and hospitalizations per 10,000 were significantly higher than their respective ARHN and Upstate New York rates.  Overall asthma hospitalizations per 10,000 population and for all individual age groups in Fulton County were also higher than their respective ARHN and Upstate New York rates.  Finally, the rates of asthma ED visits per 10,000 population for ages 0 to 4, 18 to 64, and ages 65 and older were higher than both the ARHN and Upstate New York rates.</w:t>
      </w:r>
    </w:p>
    <w:p w:rsidR="001670EC" w:rsidRPr="00CE34D9" w:rsidRDefault="001670EC" w:rsidP="001670D7">
      <w:pPr>
        <w:spacing w:after="0" w:line="240" w:lineRule="auto"/>
        <w:jc w:val="both"/>
      </w:pPr>
    </w:p>
    <w:p w:rsidR="001670EC" w:rsidRPr="00CE34D9" w:rsidRDefault="001670EC" w:rsidP="001670D7">
      <w:pPr>
        <w:spacing w:after="0" w:line="240" w:lineRule="auto"/>
        <w:jc w:val="both"/>
      </w:pPr>
      <w:r w:rsidRPr="00CE34D9">
        <w:t>Health care screenings are also a challenge for Fulton County. The percentage of women ages 18 and older with Pap smears within the last three years, the percentage of adults ages 50 and older who received colorectal screenings based on requirements, and the percentage of males ages 40 and older with digital rectal exams within the past two years or with prostate antigen tests within the last two years were all lower than their respective Upstate New York percentages.</w:t>
      </w:r>
    </w:p>
    <w:p w:rsidR="001670EC" w:rsidRPr="00CE34D9" w:rsidRDefault="001670EC" w:rsidP="001670D7">
      <w:pPr>
        <w:spacing w:after="0" w:line="240" w:lineRule="auto"/>
        <w:jc w:val="both"/>
      </w:pPr>
    </w:p>
    <w:p w:rsidR="001670EC" w:rsidRPr="00CE34D9" w:rsidRDefault="001670EC" w:rsidP="001670D7">
      <w:pPr>
        <w:spacing w:after="0" w:line="240" w:lineRule="auto"/>
        <w:jc w:val="both"/>
        <w:rPr>
          <w:u w:val="single"/>
        </w:rPr>
      </w:pPr>
      <w:r w:rsidRPr="00CE34D9">
        <w:rPr>
          <w:u w:val="single"/>
        </w:rPr>
        <w:t>Women, Infants, and Children:</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pPr>
      <w:r w:rsidRPr="00CE34D9">
        <w:t>The rates of birth to teenagers ages 15 to 17 and 18 to 19 per 1,000 females in Fulton County are higher than those of the ARHN region and Upstate New York.  Pregnant women receiving WIC had higher rates of pre-pregnancy obesity, gestational weight gain greater than the ideal and gestational hypertension than comparable populations in New York.</w:t>
      </w:r>
    </w:p>
    <w:p w:rsidR="001670EC" w:rsidRPr="00CE34D9" w:rsidRDefault="001670EC" w:rsidP="001670D7">
      <w:pPr>
        <w:spacing w:after="0" w:line="240" w:lineRule="auto"/>
        <w:jc w:val="both"/>
      </w:pPr>
    </w:p>
    <w:p w:rsidR="001670EC" w:rsidRPr="00CE34D9" w:rsidRDefault="001670EC" w:rsidP="001670D7">
      <w:pPr>
        <w:spacing w:after="0" w:line="240" w:lineRule="auto"/>
        <w:jc w:val="both"/>
      </w:pPr>
      <w:r w:rsidRPr="00CE34D9">
        <w:t>The rate of asthma hospitalizations per 10,000 population for children ages 0 to 4 and for children ages 5 to 14 were significantly worse than their respective ARHN and Upstate New York rates.  Additionally, the rates of asthma ED visits per 10,000 for children ages 0 to 4 and children ages 0 to 17 were higher than their respective ARHN and Upstate New York rates.  The rates of unintentional injury hospitalizations for children under age 10, ages 0 to 14, and for adolescents and young adults ages 15 to 24 were all higher than their respective ARHN region and Upstate New York rates per 10,000.  Finally, the rate of children younger than 6 with confirmed blood lead levels greater than or equal to 10 mg/dl per 1,000 children tested was significantly higher (90.8) than the ARHN rate of 22.5 and the Upstate New York rate of 23.3.</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rPr>
          <w:u w:val="single"/>
        </w:rPr>
      </w:pPr>
    </w:p>
    <w:p w:rsidR="001670EC" w:rsidRDefault="001670EC" w:rsidP="001670D7">
      <w:pPr>
        <w:spacing w:after="0" w:line="240" w:lineRule="auto"/>
        <w:jc w:val="both"/>
        <w:rPr>
          <w:u w:val="single"/>
        </w:rPr>
      </w:pP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rPr>
          <w:u w:val="single"/>
        </w:rPr>
      </w:pPr>
      <w:r w:rsidRPr="00CE34D9">
        <w:rPr>
          <w:u w:val="single"/>
        </w:rPr>
        <w:lastRenderedPageBreak/>
        <w:t>HIV/STDs, Vaccine-Preventable Disease, and Health Care-Associated Infections:</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pPr>
      <w:r w:rsidRPr="00CE34D9">
        <w:t>The percentage of children ages 19 to 35 months with the appropriate immunization series</w:t>
      </w:r>
      <w:r w:rsidRPr="00CE34D9">
        <w:rPr>
          <w:rStyle w:val="FootnoteReference"/>
        </w:rPr>
        <w:footnoteReference w:id="5"/>
      </w:r>
      <w:r w:rsidRPr="00CE34D9">
        <w:t xml:space="preserve"> in the County (53.2%) was lower than the Prevention Agenda benchmark of 80%. Additionally, the percentage of females ages 13 to 17 with the 3 dose HPV vaccine (32.5%) was lower than the Prevention Agenda benchmark of 50%. </w:t>
      </w:r>
    </w:p>
    <w:p w:rsidR="001670EC" w:rsidRPr="00CE34D9" w:rsidRDefault="001670EC" w:rsidP="001670D7">
      <w:pPr>
        <w:spacing w:after="0" w:line="240" w:lineRule="auto"/>
        <w:jc w:val="both"/>
      </w:pPr>
    </w:p>
    <w:p w:rsidR="001670EC" w:rsidRPr="00CE34D9" w:rsidRDefault="001670EC" w:rsidP="001670D7">
      <w:pPr>
        <w:spacing w:after="0" w:line="240" w:lineRule="auto"/>
        <w:jc w:val="both"/>
        <w:rPr>
          <w:u w:val="single"/>
        </w:rPr>
      </w:pPr>
      <w:r w:rsidRPr="00CE34D9">
        <w:rPr>
          <w:u w:val="single"/>
        </w:rPr>
        <w:t>Substance Abuse and Behavioral Health</w:t>
      </w:r>
    </w:p>
    <w:p w:rsidR="001670EC" w:rsidRPr="00CE34D9" w:rsidRDefault="001670EC" w:rsidP="001670D7">
      <w:pPr>
        <w:spacing w:after="0" w:line="240" w:lineRule="auto"/>
        <w:jc w:val="both"/>
        <w:rPr>
          <w:u w:val="single"/>
        </w:rPr>
      </w:pPr>
    </w:p>
    <w:p w:rsidR="001670EC" w:rsidRPr="00CE34D9" w:rsidRDefault="001670EC" w:rsidP="001670D7">
      <w:pPr>
        <w:spacing w:after="0" w:line="240" w:lineRule="auto"/>
        <w:jc w:val="both"/>
      </w:pPr>
      <w:r w:rsidRPr="00CE34D9">
        <w:t xml:space="preserve">The rates of age-adjusted suicides per 100,000 population as well as the overall rate of self-inflicted hospitalizations per 10,000 population in Fulton County were significantly worse than their respective rates in the ARHN region or in Upstate New York.  Additionally, the rate of self-inflicted hospitalizations for ages 15 to 19 per 10,000 population was significantly higher than both the ARHN region and the Upstate New York rates.  </w:t>
      </w:r>
    </w:p>
    <w:p w:rsidR="001670EC" w:rsidRPr="00CE34D9" w:rsidRDefault="001670EC" w:rsidP="001670D7">
      <w:pPr>
        <w:spacing w:after="0" w:line="240" w:lineRule="auto"/>
        <w:jc w:val="both"/>
      </w:pPr>
    </w:p>
    <w:p w:rsidR="001670EC" w:rsidRPr="00CE34D9" w:rsidRDefault="001670EC" w:rsidP="001670D7">
      <w:pPr>
        <w:spacing w:after="0" w:line="240" w:lineRule="auto"/>
        <w:jc w:val="both"/>
      </w:pPr>
      <w:r w:rsidRPr="00CE34D9">
        <w:t xml:space="preserve">The rate of alcohol-related accidents per 100,000 population was higher than both the ARHN and Upstate New York rates.  Finally, the rate of alcohol-related injuries and deaths per 100,000 population for Fulton County was worse than their respective ARHN region and Upstate New York rates. </w:t>
      </w:r>
    </w:p>
    <w:p w:rsidR="001670EC" w:rsidRPr="00CE34D9" w:rsidRDefault="001670EC" w:rsidP="001670D7">
      <w:pPr>
        <w:spacing w:after="0" w:line="240" w:lineRule="auto"/>
        <w:jc w:val="both"/>
      </w:pPr>
    </w:p>
    <w:p w:rsidR="001670EC" w:rsidRPr="00CE34D9" w:rsidRDefault="001670EC" w:rsidP="001670D7">
      <w:r w:rsidRPr="00CE34D9">
        <w:t>The challenges faced by Fulton County are not unique to the area, and any plan to improve the health of our constituents cannot be developed with</w:t>
      </w:r>
      <w:r>
        <w:t>out</w:t>
      </w:r>
      <w:r w:rsidRPr="00CE34D9">
        <w:t xml:space="preserve"> considering the needs of our contiguous county, Montgomery.  Fulton and Montgomery County share many of the same employers, healthcare providers, and schools.  </w:t>
      </w:r>
    </w:p>
    <w:p w:rsidR="001670EC" w:rsidRPr="00966B06" w:rsidRDefault="001670EC" w:rsidP="008B5739">
      <w:pPr>
        <w:rPr>
          <w:b/>
        </w:rPr>
      </w:pPr>
      <w:r w:rsidRPr="00966B06">
        <w:rPr>
          <w:b/>
        </w:rPr>
        <w:t>Focus Area: Disparities</w:t>
      </w:r>
    </w:p>
    <w:p w:rsidR="001670EC" w:rsidRPr="00456F88" w:rsidRDefault="001670EC" w:rsidP="00456F88">
      <w:pPr>
        <w:spacing w:after="0" w:line="240" w:lineRule="auto"/>
        <w:rPr>
          <w:b/>
          <w:bCs/>
          <w:color w:val="000000"/>
        </w:rPr>
      </w:pPr>
      <w:bookmarkStart w:id="9" w:name="_Toc355250950"/>
      <w:r w:rsidRPr="00456F88">
        <w:rPr>
          <w:b/>
          <w:bCs/>
          <w:color w:val="000000"/>
        </w:rPr>
        <w:t>Prevention Agenda Indicators</w:t>
      </w:r>
    </w:p>
    <w:p w:rsidR="001670EC" w:rsidRDefault="001670EC" w:rsidP="00521C49">
      <w:pPr>
        <w:numPr>
          <w:ilvl w:val="0"/>
          <w:numId w:val="13"/>
        </w:numPr>
        <w:spacing w:after="0" w:line="240" w:lineRule="auto"/>
        <w:rPr>
          <w:color w:val="000000"/>
        </w:rPr>
      </w:pPr>
      <w:r w:rsidRPr="00456F88">
        <w:rPr>
          <w:color w:val="000000"/>
        </w:rPr>
        <w:t xml:space="preserve">Percentage of Overall Premature Deaths (Ages 35 - 64), '08 </w:t>
      </w:r>
      <w:r>
        <w:rPr>
          <w:color w:val="000000"/>
        </w:rPr>
        <w:t>–</w:t>
      </w:r>
      <w:r w:rsidRPr="00456F88">
        <w:rPr>
          <w:color w:val="000000"/>
        </w:rPr>
        <w:t xml:space="preserve"> 10</w:t>
      </w:r>
    </w:p>
    <w:p w:rsidR="001670EC" w:rsidRDefault="001670EC" w:rsidP="00521C49">
      <w:pPr>
        <w:numPr>
          <w:ilvl w:val="0"/>
          <w:numId w:val="13"/>
        </w:numPr>
        <w:spacing w:after="0" w:line="240" w:lineRule="auto"/>
        <w:rPr>
          <w:color w:val="000000"/>
        </w:rPr>
      </w:pPr>
      <w:r w:rsidRPr="00456F88">
        <w:rPr>
          <w:color w:val="000000"/>
        </w:rPr>
        <w:t xml:space="preserve">Rate of Adult Age-Adjusted Preventable Hospitalizations per 100,000 Population (Ages 18 Plus), '08 </w:t>
      </w:r>
      <w:r>
        <w:rPr>
          <w:color w:val="000000"/>
        </w:rPr>
        <w:t>–</w:t>
      </w:r>
      <w:r w:rsidRPr="00456F88">
        <w:rPr>
          <w:color w:val="000000"/>
        </w:rPr>
        <w:t xml:space="preserve"> 10</w:t>
      </w:r>
    </w:p>
    <w:p w:rsidR="001670EC" w:rsidRDefault="001670EC" w:rsidP="00521C49">
      <w:pPr>
        <w:numPr>
          <w:ilvl w:val="0"/>
          <w:numId w:val="13"/>
        </w:numPr>
        <w:spacing w:after="0" w:line="240" w:lineRule="auto"/>
        <w:rPr>
          <w:color w:val="000000"/>
        </w:rPr>
      </w:pPr>
      <w:r w:rsidRPr="00456F88">
        <w:rPr>
          <w:color w:val="000000"/>
        </w:rPr>
        <w:t>Percentage of Adults ( Ages 18 - 64) with Health Insurance, '08/09</w:t>
      </w:r>
    </w:p>
    <w:p w:rsidR="001670EC" w:rsidRDefault="001670EC" w:rsidP="00521C49">
      <w:pPr>
        <w:numPr>
          <w:ilvl w:val="0"/>
          <w:numId w:val="13"/>
        </w:numPr>
        <w:spacing w:after="0" w:line="240" w:lineRule="auto"/>
        <w:rPr>
          <w:color w:val="000000"/>
        </w:rPr>
      </w:pPr>
      <w:r w:rsidRPr="00215EC2">
        <w:rPr>
          <w:color w:val="000000"/>
        </w:rPr>
        <w:t>Percentage of Adults with Regular Health Care Provider, '08/09</w:t>
      </w:r>
    </w:p>
    <w:p w:rsidR="001670EC" w:rsidRDefault="001670EC" w:rsidP="00E41507">
      <w:pPr>
        <w:spacing w:after="0" w:line="240" w:lineRule="auto"/>
        <w:ind w:left="756"/>
        <w:rPr>
          <w:color w:val="000000"/>
        </w:rPr>
      </w:pPr>
    </w:p>
    <w:p w:rsidR="001670EC" w:rsidRDefault="001670EC" w:rsidP="00215EC2">
      <w:pPr>
        <w:spacing w:after="0" w:line="240" w:lineRule="auto"/>
        <w:rPr>
          <w:b/>
          <w:color w:val="000000"/>
        </w:rPr>
      </w:pPr>
      <w:r w:rsidRPr="00215EC2">
        <w:rPr>
          <w:b/>
          <w:color w:val="000000"/>
        </w:rPr>
        <w:t>Other indicators:</w:t>
      </w:r>
    </w:p>
    <w:p w:rsidR="001670EC" w:rsidRPr="00E41507" w:rsidRDefault="001670EC" w:rsidP="00521C49">
      <w:pPr>
        <w:numPr>
          <w:ilvl w:val="0"/>
          <w:numId w:val="14"/>
        </w:numPr>
        <w:spacing w:after="0" w:line="240" w:lineRule="auto"/>
        <w:rPr>
          <w:b/>
          <w:color w:val="000000"/>
        </w:rPr>
      </w:pPr>
      <w:r w:rsidRPr="00E41507">
        <w:rPr>
          <w:color w:val="000000"/>
        </w:rPr>
        <w:t>Rate of Total Deaths per 100,000 Population, '08 – 10</w:t>
      </w:r>
    </w:p>
    <w:p w:rsidR="001670EC" w:rsidRPr="00E41507" w:rsidRDefault="001670EC" w:rsidP="00521C49">
      <w:pPr>
        <w:numPr>
          <w:ilvl w:val="0"/>
          <w:numId w:val="14"/>
        </w:numPr>
        <w:spacing w:after="0" w:line="240" w:lineRule="auto"/>
        <w:rPr>
          <w:b/>
          <w:color w:val="000000"/>
        </w:rPr>
      </w:pPr>
      <w:r w:rsidRPr="00E41507">
        <w:rPr>
          <w:color w:val="000000"/>
        </w:rPr>
        <w:t>Rate of Total Deaths per 100,000 Adjusted Population, '08 – 10</w:t>
      </w:r>
    </w:p>
    <w:p w:rsidR="001670EC" w:rsidRPr="00E41507" w:rsidRDefault="001670EC" w:rsidP="00521C49">
      <w:pPr>
        <w:numPr>
          <w:ilvl w:val="0"/>
          <w:numId w:val="14"/>
        </w:numPr>
        <w:spacing w:after="0" w:line="240" w:lineRule="auto"/>
        <w:rPr>
          <w:b/>
          <w:color w:val="000000"/>
        </w:rPr>
      </w:pPr>
      <w:r w:rsidRPr="00E41507">
        <w:rPr>
          <w:color w:val="000000"/>
        </w:rPr>
        <w:t>Rate of Emergency Department Visits per 10,000 Population, '08 – 10</w:t>
      </w:r>
    </w:p>
    <w:p w:rsidR="001670EC" w:rsidRPr="00E41507" w:rsidRDefault="001670EC" w:rsidP="00521C49">
      <w:pPr>
        <w:numPr>
          <w:ilvl w:val="0"/>
          <w:numId w:val="14"/>
        </w:numPr>
        <w:spacing w:after="0" w:line="240" w:lineRule="auto"/>
        <w:rPr>
          <w:b/>
          <w:color w:val="000000"/>
        </w:rPr>
      </w:pPr>
      <w:r w:rsidRPr="00E41507">
        <w:rPr>
          <w:color w:val="000000"/>
        </w:rPr>
        <w:t>Rate of Emergency Department Visits per 10,000 Adjusted Population, '08 – 10</w:t>
      </w:r>
    </w:p>
    <w:p w:rsidR="001670EC" w:rsidRPr="00E41507" w:rsidRDefault="001670EC" w:rsidP="00521C49">
      <w:pPr>
        <w:numPr>
          <w:ilvl w:val="0"/>
          <w:numId w:val="14"/>
        </w:numPr>
        <w:spacing w:after="0" w:line="240" w:lineRule="auto"/>
        <w:rPr>
          <w:b/>
          <w:color w:val="000000"/>
        </w:rPr>
      </w:pPr>
      <w:r w:rsidRPr="00E41507">
        <w:rPr>
          <w:color w:val="000000"/>
        </w:rPr>
        <w:t>Rate of Total Hospital Discharges per 10,000 Population, '08 – 10</w:t>
      </w:r>
    </w:p>
    <w:p w:rsidR="001670EC" w:rsidRPr="00E41507" w:rsidRDefault="001670EC" w:rsidP="00521C49">
      <w:pPr>
        <w:numPr>
          <w:ilvl w:val="0"/>
          <w:numId w:val="14"/>
        </w:numPr>
        <w:spacing w:after="0" w:line="240" w:lineRule="auto"/>
        <w:rPr>
          <w:b/>
          <w:color w:val="000000"/>
        </w:rPr>
      </w:pPr>
      <w:r w:rsidRPr="00E41507">
        <w:rPr>
          <w:color w:val="000000"/>
        </w:rPr>
        <w:t>Rate of Total Hospital Discharges per 10,000 Adjusted Population, '08 – 10</w:t>
      </w:r>
    </w:p>
    <w:p w:rsidR="001670EC" w:rsidRPr="00E41507" w:rsidRDefault="001670EC" w:rsidP="00521C49">
      <w:pPr>
        <w:numPr>
          <w:ilvl w:val="0"/>
          <w:numId w:val="14"/>
        </w:numPr>
        <w:spacing w:after="0" w:line="240" w:lineRule="auto"/>
        <w:rPr>
          <w:b/>
          <w:color w:val="000000"/>
        </w:rPr>
      </w:pPr>
      <w:r w:rsidRPr="00E41507">
        <w:rPr>
          <w:color w:val="000000"/>
        </w:rPr>
        <w:t>% of Adults (18 and Older) with Poor Physical Health, '08/09</w:t>
      </w:r>
    </w:p>
    <w:p w:rsidR="001670EC" w:rsidRPr="00E41507" w:rsidRDefault="001670EC" w:rsidP="00521C49">
      <w:pPr>
        <w:numPr>
          <w:ilvl w:val="0"/>
          <w:numId w:val="14"/>
        </w:numPr>
        <w:spacing w:after="0" w:line="240" w:lineRule="auto"/>
        <w:rPr>
          <w:b/>
          <w:color w:val="000000"/>
        </w:rPr>
      </w:pPr>
      <w:r w:rsidRPr="00E41507">
        <w:rPr>
          <w:color w:val="000000"/>
        </w:rPr>
        <w:t>9. % of Adults (18 and Older) with Physical Limitations, '08/09</w:t>
      </w:r>
    </w:p>
    <w:p w:rsidR="001670EC" w:rsidRPr="00E41507" w:rsidRDefault="001670EC" w:rsidP="00521C49">
      <w:pPr>
        <w:numPr>
          <w:ilvl w:val="0"/>
          <w:numId w:val="14"/>
        </w:numPr>
        <w:spacing w:after="0" w:line="240" w:lineRule="auto"/>
        <w:rPr>
          <w:b/>
          <w:color w:val="000000"/>
        </w:rPr>
      </w:pPr>
      <w:r w:rsidRPr="00E41507">
        <w:rPr>
          <w:color w:val="000000"/>
        </w:rPr>
        <w:t>10. % of Adults (18 and Older) with Health Problems that Need Special Equipment, '08/09</w:t>
      </w:r>
    </w:p>
    <w:p w:rsidR="001670EC" w:rsidRPr="009C4602" w:rsidRDefault="001670EC" w:rsidP="009C4602">
      <w:pPr>
        <w:numPr>
          <w:ilvl w:val="0"/>
          <w:numId w:val="14"/>
        </w:numPr>
        <w:spacing w:after="0" w:line="240" w:lineRule="auto"/>
        <w:rPr>
          <w:b/>
          <w:color w:val="000000"/>
        </w:rPr>
      </w:pPr>
      <w:r w:rsidRPr="00E41507">
        <w:rPr>
          <w:color w:val="000000"/>
        </w:rPr>
        <w:t>Percentage of Adults (18 and Older) with Disabilities, '08/09</w:t>
      </w:r>
    </w:p>
    <w:p w:rsidR="001670EC" w:rsidRDefault="001670EC" w:rsidP="00456F88">
      <w:pPr>
        <w:pStyle w:val="ListParagraph"/>
        <w:spacing w:after="0" w:line="240" w:lineRule="auto"/>
        <w:ind w:left="0"/>
        <w:contextualSpacing w:val="0"/>
        <w:rPr>
          <w:color w:val="000000"/>
        </w:rPr>
      </w:pPr>
    </w:p>
    <w:p w:rsidR="001670EC" w:rsidRPr="00CE34D9" w:rsidRDefault="001670EC" w:rsidP="00CE34D9">
      <w:pPr>
        <w:pStyle w:val="ListParagraph"/>
        <w:spacing w:after="0" w:line="240" w:lineRule="auto"/>
        <w:ind w:left="0"/>
        <w:contextualSpacing w:val="0"/>
        <w:rPr>
          <w:b/>
        </w:rPr>
      </w:pPr>
      <w:r w:rsidRPr="00E41507">
        <w:rPr>
          <w:b/>
          <w:color w:val="000000"/>
        </w:rPr>
        <w:lastRenderedPageBreak/>
        <w:t>Regional Challenges</w:t>
      </w:r>
    </w:p>
    <w:tbl>
      <w:tblPr>
        <w:tblW w:w="9798" w:type="dxa"/>
        <w:tblCellMar>
          <w:left w:w="0" w:type="dxa"/>
          <w:right w:w="0" w:type="dxa"/>
        </w:tblCellMar>
        <w:tblLook w:val="00A0"/>
      </w:tblPr>
      <w:tblGrid>
        <w:gridCol w:w="5777"/>
        <w:gridCol w:w="1211"/>
        <w:gridCol w:w="1488"/>
        <w:gridCol w:w="1322"/>
      </w:tblGrid>
      <w:tr w:rsidR="001670EC" w:rsidRPr="00680D98" w:rsidTr="0001670C">
        <w:trPr>
          <w:trHeight w:val="276"/>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Indicator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Fulton </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Montgomery</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Benchmark </w:t>
            </w:r>
          </w:p>
        </w:tc>
      </w:tr>
      <w:tr w:rsidR="001670EC" w:rsidRPr="00680D98" w:rsidTr="0001670C">
        <w:trPr>
          <w:trHeight w:val="27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The rate of total ED visits per 10,000 population</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5,244.3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5,748.2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3,534.4 </w:t>
            </w:r>
          </w:p>
        </w:tc>
      </w:tr>
      <w:tr w:rsidR="001670EC" w:rsidRPr="00680D98" w:rsidTr="0001670C">
        <w:trPr>
          <w:trHeight w:val="39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The rate of adult, 18 plus, age-adjusted preventable hospitalizations per 10,000 adults, 18 plus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161.6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162.6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133.3 </w:t>
            </w:r>
          </w:p>
        </w:tc>
      </w:tr>
      <w:tr w:rsidR="001670EC" w:rsidRPr="00680D98" w:rsidTr="0001670C">
        <w:trPr>
          <w:trHeight w:val="27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The percentage of adults with health insurance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84.4%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84.1%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100.0% </w:t>
            </w:r>
          </w:p>
        </w:tc>
      </w:tr>
      <w:tr w:rsidR="001670EC" w:rsidRPr="00680D98" w:rsidTr="0001670C">
        <w:trPr>
          <w:trHeight w:val="276"/>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The percentage of adults with regular care provider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84.8%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87.3%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90.8% </w:t>
            </w:r>
          </w:p>
        </w:tc>
      </w:tr>
      <w:tr w:rsidR="001670EC" w:rsidRPr="00680D98" w:rsidTr="0001670C">
        <w:trPr>
          <w:trHeight w:val="27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The rate of total deaths per 100,000 population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1,020.5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1,187.0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842.2 </w:t>
            </w:r>
          </w:p>
        </w:tc>
      </w:tr>
      <w:tr w:rsidR="001670EC" w:rsidRPr="00680D98" w:rsidTr="0001670C">
        <w:trPr>
          <w:trHeight w:val="39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The rate of Hispanic/Latino premature deaths (35 – 64) compare to White, non-Hispanic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Less than 10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3.15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1.86 </w:t>
            </w:r>
          </w:p>
        </w:tc>
      </w:tr>
    </w:tbl>
    <w:p w:rsidR="001670EC" w:rsidRDefault="001670EC" w:rsidP="0001670C">
      <w:pPr>
        <w:pStyle w:val="ListParagraph"/>
        <w:spacing w:after="0" w:line="240" w:lineRule="auto"/>
        <w:ind w:left="0"/>
        <w:contextualSpacing w:val="0"/>
      </w:pPr>
    </w:p>
    <w:p w:rsidR="001670EC" w:rsidRPr="000E0302" w:rsidRDefault="001670EC" w:rsidP="0001670C">
      <w:pPr>
        <w:pStyle w:val="ListParagraph"/>
        <w:spacing w:after="0" w:line="240" w:lineRule="auto"/>
        <w:ind w:left="0"/>
        <w:contextualSpacing w:val="0"/>
      </w:pPr>
      <w:r>
        <w:t xml:space="preserve">The largest employer </w:t>
      </w:r>
      <w:r w:rsidRPr="009C4602">
        <w:t>in Fulton County is Lexington (Fulton County Chapter, NYSARC Inc.), a private, not for profit agency that provides services and residential care to the disabled.</w:t>
      </w:r>
      <w:r>
        <w:t xml:space="preserve">  The disabled in Fulton County have excellent access to services, and the presence of Lexington Center in the community affects the number of persons living with poor physical health, physical limitations and health problems requiring special equipment in Fulton County.  This population is also primarily enrolled in Medicaid.</w:t>
      </w:r>
    </w:p>
    <w:p w:rsidR="001670EC" w:rsidRPr="00E41507" w:rsidRDefault="001670EC" w:rsidP="005A07D5">
      <w:pPr>
        <w:pStyle w:val="ListParagraph"/>
        <w:spacing w:after="0" w:line="240" w:lineRule="auto"/>
        <w:contextualSpacing w:val="0"/>
        <w:rPr>
          <w:b/>
        </w:rPr>
      </w:pPr>
    </w:p>
    <w:p w:rsidR="001670EC" w:rsidRPr="00966B06" w:rsidRDefault="001670EC" w:rsidP="00E41507">
      <w:pPr>
        <w:pStyle w:val="ListParagraph"/>
        <w:spacing w:after="0" w:line="240" w:lineRule="auto"/>
        <w:ind w:left="0"/>
        <w:contextualSpacing w:val="0"/>
        <w:rPr>
          <w:b/>
          <w:sz w:val="28"/>
          <w:szCs w:val="28"/>
        </w:rPr>
      </w:pPr>
      <w:r w:rsidRPr="00966B06">
        <w:rPr>
          <w:b/>
          <w:sz w:val="28"/>
          <w:szCs w:val="28"/>
        </w:rPr>
        <w:t>Promote a Healthy and Safe Environment</w:t>
      </w:r>
    </w:p>
    <w:p w:rsidR="001670EC" w:rsidRPr="003C4F9E" w:rsidRDefault="001670EC" w:rsidP="00E41507">
      <w:pPr>
        <w:pStyle w:val="ListParagraph"/>
        <w:spacing w:after="0" w:line="240" w:lineRule="auto"/>
        <w:ind w:left="0"/>
        <w:contextualSpacing w:val="0"/>
        <w:rPr>
          <w:b/>
        </w:rPr>
      </w:pPr>
    </w:p>
    <w:p w:rsidR="001670EC" w:rsidRPr="003C4F9E" w:rsidRDefault="001670EC" w:rsidP="003C4F9E">
      <w:pPr>
        <w:pStyle w:val="ListParagraph"/>
        <w:spacing w:after="0" w:line="240" w:lineRule="auto"/>
        <w:ind w:left="0"/>
        <w:contextualSpacing w:val="0"/>
        <w:rPr>
          <w:b/>
        </w:rPr>
      </w:pPr>
      <w:r w:rsidRPr="003C4F9E">
        <w:rPr>
          <w:b/>
        </w:rPr>
        <w:t>Focus Area: Injuries, Violence and Occupational Health</w:t>
      </w:r>
    </w:p>
    <w:p w:rsidR="001670EC" w:rsidRDefault="001670EC" w:rsidP="00E41507">
      <w:pPr>
        <w:spacing w:after="0" w:line="240" w:lineRule="auto"/>
        <w:rPr>
          <w:b/>
          <w:bCs/>
          <w:color w:val="000000"/>
        </w:rPr>
      </w:pPr>
    </w:p>
    <w:p w:rsidR="001670EC" w:rsidRPr="00E41507" w:rsidRDefault="001670EC" w:rsidP="00E41507">
      <w:pPr>
        <w:spacing w:after="0" w:line="240" w:lineRule="auto"/>
        <w:rPr>
          <w:b/>
          <w:bCs/>
          <w:color w:val="000000"/>
        </w:rPr>
      </w:pPr>
      <w:r w:rsidRPr="00E41507">
        <w:rPr>
          <w:b/>
          <w:bCs/>
          <w:color w:val="000000"/>
        </w:rPr>
        <w:t>Prevention Agenda Indicators</w:t>
      </w:r>
    </w:p>
    <w:p w:rsidR="001670EC" w:rsidRPr="00E41507" w:rsidRDefault="001670EC" w:rsidP="00521C49">
      <w:pPr>
        <w:numPr>
          <w:ilvl w:val="0"/>
          <w:numId w:val="6"/>
        </w:numPr>
        <w:spacing w:after="0" w:line="240" w:lineRule="auto"/>
        <w:rPr>
          <w:color w:val="000000"/>
        </w:rPr>
      </w:pPr>
      <w:r w:rsidRPr="00E41507">
        <w:rPr>
          <w:color w:val="000000"/>
        </w:rPr>
        <w:t xml:space="preserve"> Rate of Hospitalizations due to Falls for Ages 65 Plus per 10,000 Population, '08 - 10 </w:t>
      </w:r>
    </w:p>
    <w:p w:rsidR="001670EC" w:rsidRPr="00E41507" w:rsidRDefault="001670EC" w:rsidP="00521C49">
      <w:pPr>
        <w:numPr>
          <w:ilvl w:val="0"/>
          <w:numId w:val="6"/>
        </w:numPr>
        <w:spacing w:after="0" w:line="240" w:lineRule="auto"/>
        <w:rPr>
          <w:color w:val="000000"/>
        </w:rPr>
      </w:pPr>
      <w:r w:rsidRPr="00E41507">
        <w:rPr>
          <w:color w:val="000000"/>
        </w:rPr>
        <w:t xml:space="preserve"> Rate of ED Visits due to Falls for Children Ages 1 - 4 per 10,000 Population Children Ages 1 - 4, '08 - 10</w:t>
      </w:r>
    </w:p>
    <w:p w:rsidR="001670EC" w:rsidRPr="00E41507" w:rsidRDefault="001670EC" w:rsidP="00521C49">
      <w:pPr>
        <w:pStyle w:val="ListParagraph"/>
        <w:numPr>
          <w:ilvl w:val="0"/>
          <w:numId w:val="6"/>
        </w:numPr>
        <w:spacing w:after="0" w:line="240" w:lineRule="auto"/>
        <w:contextualSpacing w:val="0"/>
      </w:pPr>
      <w:r w:rsidRPr="00E41507">
        <w:rPr>
          <w:color w:val="000000"/>
        </w:rPr>
        <w:t xml:space="preserve"> Rate of ED Occupatio</w:t>
      </w:r>
      <w:r>
        <w:rPr>
          <w:color w:val="000000"/>
        </w:rPr>
        <w:t>nal Injuries Among Working Adole</w:t>
      </w:r>
      <w:r w:rsidRPr="00E41507">
        <w:rPr>
          <w:color w:val="000000"/>
        </w:rPr>
        <w:t>scents Ages 15 - 19 per 10,000 Population Ages 15 - 19, '08 - 10</w:t>
      </w:r>
    </w:p>
    <w:p w:rsidR="001670EC" w:rsidRDefault="001670EC" w:rsidP="00456F88">
      <w:pPr>
        <w:pStyle w:val="ListParagraph"/>
        <w:spacing w:after="0" w:line="240" w:lineRule="auto"/>
        <w:ind w:left="0"/>
        <w:contextualSpacing w:val="0"/>
      </w:pPr>
    </w:p>
    <w:p w:rsidR="001670EC" w:rsidRPr="003C4F9E" w:rsidRDefault="001670EC" w:rsidP="003C4F9E">
      <w:pPr>
        <w:pStyle w:val="ListParagraph"/>
        <w:spacing w:after="0" w:line="240" w:lineRule="auto"/>
        <w:ind w:left="0"/>
        <w:contextualSpacing w:val="0"/>
        <w:rPr>
          <w:b/>
        </w:rPr>
      </w:pPr>
      <w:r w:rsidRPr="003C4F9E">
        <w:rPr>
          <w:b/>
        </w:rPr>
        <w:t>Focus Area: Outdoor Air Quality</w:t>
      </w:r>
    </w:p>
    <w:p w:rsidR="001670EC" w:rsidRDefault="001670EC" w:rsidP="00CF1BFD">
      <w:pPr>
        <w:pStyle w:val="ListParagraph"/>
        <w:numPr>
          <w:ilvl w:val="0"/>
          <w:numId w:val="39"/>
        </w:numPr>
        <w:spacing w:after="0" w:line="240" w:lineRule="auto"/>
        <w:contextualSpacing w:val="0"/>
      </w:pPr>
      <w:r>
        <w:t>Area quality in Fulton County meets the Prevention Agenda benchmarks</w:t>
      </w:r>
    </w:p>
    <w:p w:rsidR="001670EC" w:rsidRDefault="001670EC" w:rsidP="00456F88">
      <w:pPr>
        <w:spacing w:after="0" w:line="240" w:lineRule="auto"/>
        <w:rPr>
          <w:b/>
          <w:bCs/>
          <w:color w:val="000000"/>
        </w:rPr>
      </w:pPr>
    </w:p>
    <w:p w:rsidR="001670EC" w:rsidRPr="003C4F9E" w:rsidRDefault="001670EC" w:rsidP="00456F88">
      <w:pPr>
        <w:spacing w:after="0" w:line="240" w:lineRule="auto"/>
        <w:rPr>
          <w:b/>
          <w:bCs/>
          <w:color w:val="000000"/>
        </w:rPr>
      </w:pPr>
      <w:r w:rsidRPr="003C4F9E">
        <w:rPr>
          <w:b/>
          <w:bCs/>
          <w:color w:val="000000"/>
        </w:rPr>
        <w:t>Focus Area: Built Environment</w:t>
      </w:r>
    </w:p>
    <w:p w:rsidR="001670EC" w:rsidRPr="003C4F9E" w:rsidRDefault="001670EC" w:rsidP="00456F88">
      <w:pPr>
        <w:spacing w:after="0" w:line="240" w:lineRule="auto"/>
        <w:rPr>
          <w:color w:val="000000"/>
        </w:rPr>
      </w:pPr>
    </w:p>
    <w:p w:rsidR="001670EC" w:rsidRPr="00CF1BFD" w:rsidRDefault="001670EC" w:rsidP="00456F88">
      <w:pPr>
        <w:numPr>
          <w:ilvl w:val="0"/>
          <w:numId w:val="15"/>
        </w:numPr>
        <w:spacing w:after="0" w:line="240" w:lineRule="auto"/>
        <w:rPr>
          <w:color w:val="000000"/>
        </w:rPr>
      </w:pPr>
      <w:r w:rsidRPr="00E41507">
        <w:rPr>
          <w:color w:val="000000"/>
        </w:rPr>
        <w:t>Percentage of the Population that Live in Jurisdictions that Adopted Climate Smart Communities Pledge, 2012</w:t>
      </w:r>
    </w:p>
    <w:p w:rsidR="001670EC" w:rsidRPr="00E41507" w:rsidRDefault="001670EC" w:rsidP="00521C49">
      <w:pPr>
        <w:numPr>
          <w:ilvl w:val="0"/>
          <w:numId w:val="15"/>
        </w:numPr>
        <w:spacing w:after="0" w:line="240" w:lineRule="auto"/>
        <w:rPr>
          <w:color w:val="000000"/>
        </w:rPr>
      </w:pPr>
      <w:r w:rsidRPr="00E41507">
        <w:rPr>
          <w:color w:val="000000"/>
        </w:rPr>
        <w:t>Percentage of Commuters Who Use Alternative Modes of Transportation to Work, '07 - 11</w:t>
      </w:r>
    </w:p>
    <w:p w:rsidR="001670EC" w:rsidRPr="00CE34D9" w:rsidRDefault="001670EC" w:rsidP="00456F88">
      <w:pPr>
        <w:pStyle w:val="ListParagraph"/>
        <w:numPr>
          <w:ilvl w:val="0"/>
          <w:numId w:val="15"/>
        </w:numPr>
        <w:spacing w:after="0" w:line="240" w:lineRule="auto"/>
        <w:contextualSpacing w:val="0"/>
      </w:pPr>
      <w:r w:rsidRPr="00E41507">
        <w:rPr>
          <w:color w:val="000000"/>
        </w:rPr>
        <w:t>Percentage of Population with Low-Income and Low-Access to a Supermarket or Large Grocery Store, 2010</w:t>
      </w:r>
    </w:p>
    <w:p w:rsidR="001670EC" w:rsidRDefault="001670EC" w:rsidP="00456F88">
      <w:pPr>
        <w:spacing w:after="0" w:line="240" w:lineRule="auto"/>
        <w:rPr>
          <w:b/>
          <w:bCs/>
          <w:color w:val="000000"/>
        </w:rPr>
      </w:pPr>
    </w:p>
    <w:p w:rsidR="001670EC" w:rsidRDefault="001670EC" w:rsidP="00456F88">
      <w:pPr>
        <w:spacing w:after="0" w:line="240" w:lineRule="auto"/>
        <w:rPr>
          <w:b/>
          <w:bCs/>
          <w:color w:val="000000"/>
        </w:rPr>
      </w:pPr>
    </w:p>
    <w:p w:rsidR="001670EC" w:rsidRPr="0070477B" w:rsidRDefault="001670EC" w:rsidP="00456F88">
      <w:pPr>
        <w:spacing w:after="0" w:line="240" w:lineRule="auto"/>
        <w:rPr>
          <w:b/>
          <w:bCs/>
          <w:color w:val="000000"/>
        </w:rPr>
      </w:pPr>
      <w:r w:rsidRPr="0070477B">
        <w:rPr>
          <w:b/>
          <w:bCs/>
          <w:color w:val="000000"/>
        </w:rPr>
        <w:t>Focus Area: Water Quality</w:t>
      </w:r>
    </w:p>
    <w:p w:rsidR="001670EC" w:rsidRPr="0070477B" w:rsidRDefault="001670EC" w:rsidP="00521C49">
      <w:pPr>
        <w:pStyle w:val="ListParagraph"/>
        <w:numPr>
          <w:ilvl w:val="0"/>
          <w:numId w:val="16"/>
        </w:numPr>
        <w:spacing w:after="0" w:line="240" w:lineRule="auto"/>
        <w:contextualSpacing w:val="0"/>
        <w:rPr>
          <w:color w:val="000000"/>
        </w:rPr>
      </w:pPr>
      <w:r w:rsidRPr="0070477B">
        <w:rPr>
          <w:color w:val="000000"/>
        </w:rPr>
        <w:t>Percentage of Residents Served by Community Water Systems with Optimally Fluoridated Water, 2012</w:t>
      </w:r>
    </w:p>
    <w:p w:rsidR="001670EC" w:rsidRDefault="001670EC" w:rsidP="00DE21D2">
      <w:pPr>
        <w:pStyle w:val="ListParagraph"/>
        <w:spacing w:after="0" w:line="240" w:lineRule="auto"/>
        <w:ind w:left="360"/>
        <w:contextualSpacing w:val="0"/>
        <w:rPr>
          <w:rFonts w:ascii="Times New Roman" w:hAnsi="Times New Roman"/>
          <w:color w:val="000000"/>
          <w:sz w:val="24"/>
          <w:szCs w:val="24"/>
        </w:rPr>
      </w:pPr>
    </w:p>
    <w:p w:rsidR="001670EC" w:rsidRPr="00BF5390" w:rsidRDefault="001670EC" w:rsidP="00DE21D2">
      <w:pPr>
        <w:pStyle w:val="BodyText2"/>
        <w:rPr>
          <w:rFonts w:ascii="Calibri" w:hAnsi="Calibri"/>
          <w:bCs/>
          <w:color w:val="auto"/>
          <w:sz w:val="22"/>
          <w:szCs w:val="22"/>
        </w:rPr>
      </w:pPr>
      <w:r w:rsidRPr="00BF5390">
        <w:rPr>
          <w:rFonts w:ascii="Calibri" w:hAnsi="Calibri"/>
          <w:bCs/>
          <w:color w:val="auto"/>
          <w:sz w:val="22"/>
          <w:szCs w:val="22"/>
        </w:rPr>
        <w:t xml:space="preserve">Fluoride is provided to a majority of our children through prescription or treatment since the only municipality with fluoridated water is the City of Gloversville.  The City of Johnstown started a fluoridation program, but public outcry forced its cessation.  </w:t>
      </w:r>
    </w:p>
    <w:p w:rsidR="001670EC" w:rsidRDefault="001670EC" w:rsidP="00DE21D2">
      <w:pPr>
        <w:pStyle w:val="ListParagraph"/>
        <w:spacing w:after="0" w:line="240" w:lineRule="auto"/>
        <w:ind w:left="360"/>
        <w:contextualSpacing w:val="0"/>
        <w:rPr>
          <w:rFonts w:ascii="Times New Roman" w:hAnsi="Times New Roman"/>
          <w:color w:val="000000"/>
          <w:sz w:val="24"/>
          <w:szCs w:val="24"/>
        </w:rPr>
      </w:pPr>
    </w:p>
    <w:p w:rsidR="001670EC" w:rsidRPr="00E41507" w:rsidRDefault="001670EC" w:rsidP="00E41507">
      <w:pPr>
        <w:spacing w:after="0" w:line="240" w:lineRule="auto"/>
        <w:rPr>
          <w:b/>
          <w:bCs/>
          <w:color w:val="000000"/>
        </w:rPr>
      </w:pPr>
      <w:r w:rsidRPr="00E41507">
        <w:rPr>
          <w:b/>
          <w:bCs/>
          <w:color w:val="000000"/>
        </w:rPr>
        <w:t>Other Indicators</w:t>
      </w:r>
    </w:p>
    <w:p w:rsidR="001670EC" w:rsidRPr="00E41507" w:rsidRDefault="001670EC" w:rsidP="00521C49">
      <w:pPr>
        <w:numPr>
          <w:ilvl w:val="0"/>
          <w:numId w:val="16"/>
        </w:numPr>
        <w:spacing w:after="0" w:line="240" w:lineRule="auto"/>
        <w:jc w:val="both"/>
        <w:rPr>
          <w:color w:val="000000"/>
        </w:rPr>
      </w:pPr>
      <w:r w:rsidRPr="00E41507">
        <w:rPr>
          <w:color w:val="000000"/>
        </w:rPr>
        <w:t>Rate of Hospitalizations for Falls for Children Ages Under 10 per 10,000 Population Children Ages Under 10 , '08 - 10</w:t>
      </w:r>
    </w:p>
    <w:p w:rsidR="001670EC" w:rsidRPr="00E41507" w:rsidRDefault="001670EC" w:rsidP="00521C49">
      <w:pPr>
        <w:numPr>
          <w:ilvl w:val="0"/>
          <w:numId w:val="16"/>
        </w:numPr>
        <w:spacing w:after="0" w:line="240" w:lineRule="auto"/>
        <w:rPr>
          <w:color w:val="000000"/>
        </w:rPr>
      </w:pPr>
      <w:r w:rsidRPr="00E41507">
        <w:rPr>
          <w:color w:val="000000"/>
        </w:rPr>
        <w:t>Rate of Hospitalizations for Falls for Adults Ages 25 - 64 per 10,000 Population Adults Ages 25 - 64, '08 - 10</w:t>
      </w:r>
    </w:p>
    <w:p w:rsidR="001670EC" w:rsidRPr="00E41507" w:rsidRDefault="001670EC" w:rsidP="00521C49">
      <w:pPr>
        <w:numPr>
          <w:ilvl w:val="0"/>
          <w:numId w:val="16"/>
        </w:numPr>
        <w:spacing w:after="0" w:line="240" w:lineRule="auto"/>
        <w:rPr>
          <w:color w:val="000000"/>
        </w:rPr>
      </w:pPr>
      <w:r w:rsidRPr="00E41507">
        <w:rPr>
          <w:color w:val="000000"/>
        </w:rPr>
        <w:t>Rate of Property Crimes per 100,000 Population, '07 - 11</w:t>
      </w:r>
    </w:p>
    <w:p w:rsidR="001670EC" w:rsidRPr="00E41507" w:rsidRDefault="001670EC" w:rsidP="00521C49">
      <w:pPr>
        <w:numPr>
          <w:ilvl w:val="0"/>
          <w:numId w:val="16"/>
        </w:numPr>
        <w:spacing w:after="0" w:line="240" w:lineRule="auto"/>
        <w:rPr>
          <w:color w:val="000000"/>
        </w:rPr>
      </w:pPr>
      <w:r w:rsidRPr="00E41507">
        <w:rPr>
          <w:color w:val="000000"/>
        </w:rPr>
        <w:t>Rate of Total Crimes per 100,000 Population, '07 - 11</w:t>
      </w:r>
    </w:p>
    <w:p w:rsidR="001670EC" w:rsidRPr="00E41507" w:rsidRDefault="001670EC" w:rsidP="00521C49">
      <w:pPr>
        <w:numPr>
          <w:ilvl w:val="0"/>
          <w:numId w:val="16"/>
        </w:numPr>
        <w:spacing w:after="0" w:line="240" w:lineRule="auto"/>
        <w:rPr>
          <w:color w:val="000000"/>
        </w:rPr>
      </w:pPr>
      <w:r w:rsidRPr="00E41507">
        <w:rPr>
          <w:color w:val="000000"/>
        </w:rPr>
        <w:t>Rate of Asbestosis Hospitalizations, Ages 15 Plus, per 10,000 Population Ages 15 Plus, '08 - 10</w:t>
      </w:r>
    </w:p>
    <w:p w:rsidR="001670EC" w:rsidRPr="00E41507" w:rsidRDefault="001670EC" w:rsidP="00521C49">
      <w:pPr>
        <w:numPr>
          <w:ilvl w:val="0"/>
          <w:numId w:val="16"/>
        </w:numPr>
        <w:spacing w:after="0" w:line="240" w:lineRule="auto"/>
        <w:rPr>
          <w:color w:val="000000"/>
        </w:rPr>
      </w:pPr>
      <w:r w:rsidRPr="00E41507">
        <w:rPr>
          <w:color w:val="000000"/>
        </w:rPr>
        <w:t>Rate of Work-Related Hospitalizations, Employed Ages 16 Plus per 10,000 Individuals Employed Ages 16 Plus, '08 - 10</w:t>
      </w:r>
    </w:p>
    <w:p w:rsidR="001670EC" w:rsidRPr="00E41507" w:rsidRDefault="001670EC" w:rsidP="00521C49">
      <w:pPr>
        <w:numPr>
          <w:ilvl w:val="0"/>
          <w:numId w:val="16"/>
        </w:numPr>
        <w:spacing w:after="0" w:line="240" w:lineRule="auto"/>
        <w:rPr>
          <w:color w:val="000000"/>
        </w:rPr>
      </w:pPr>
      <w:r w:rsidRPr="00E41507">
        <w:rPr>
          <w:color w:val="000000"/>
        </w:rPr>
        <w:t>Rate of Elevated Blood Lead Levels Ages 16 Plus Employed per 10,000 Individuals Employed Ages 16 Plus, '08 - 10</w:t>
      </w:r>
    </w:p>
    <w:p w:rsidR="001670EC" w:rsidRPr="00E41507" w:rsidRDefault="001670EC" w:rsidP="00521C49">
      <w:pPr>
        <w:numPr>
          <w:ilvl w:val="0"/>
          <w:numId w:val="16"/>
        </w:numPr>
        <w:spacing w:after="0" w:line="240" w:lineRule="auto"/>
        <w:rPr>
          <w:color w:val="000000"/>
        </w:rPr>
      </w:pPr>
      <w:r w:rsidRPr="00E41507">
        <w:rPr>
          <w:color w:val="000000"/>
        </w:rPr>
        <w:t>Rate of Motor Vehicle Accident Deaths per 100,000 Population, '08 - 10</w:t>
      </w:r>
    </w:p>
    <w:p w:rsidR="001670EC" w:rsidRPr="00E41507" w:rsidRDefault="001670EC" w:rsidP="00521C49">
      <w:pPr>
        <w:numPr>
          <w:ilvl w:val="0"/>
          <w:numId w:val="16"/>
        </w:numPr>
        <w:spacing w:after="0" w:line="240" w:lineRule="auto"/>
        <w:rPr>
          <w:color w:val="000000"/>
        </w:rPr>
      </w:pPr>
      <w:r w:rsidRPr="00E41507">
        <w:rPr>
          <w:color w:val="000000"/>
        </w:rPr>
        <w:t>Rate of TBI Hospitalizations per 10,000 Population, '08 - 10</w:t>
      </w:r>
    </w:p>
    <w:p w:rsidR="001670EC" w:rsidRPr="00E41507" w:rsidRDefault="001670EC" w:rsidP="00521C49">
      <w:pPr>
        <w:numPr>
          <w:ilvl w:val="0"/>
          <w:numId w:val="16"/>
        </w:numPr>
        <w:spacing w:after="0" w:line="240" w:lineRule="auto"/>
        <w:rPr>
          <w:color w:val="000000"/>
        </w:rPr>
      </w:pPr>
      <w:r w:rsidRPr="00E41507">
        <w:rPr>
          <w:color w:val="000000"/>
        </w:rPr>
        <w:t>Rate of Unintentional Injury Hospitalizations per 10,000 Population, '08 - 10</w:t>
      </w:r>
    </w:p>
    <w:p w:rsidR="001670EC" w:rsidRPr="00E41507" w:rsidRDefault="001670EC" w:rsidP="00521C49">
      <w:pPr>
        <w:numPr>
          <w:ilvl w:val="0"/>
          <w:numId w:val="16"/>
        </w:numPr>
        <w:spacing w:after="0" w:line="240" w:lineRule="auto"/>
        <w:rPr>
          <w:color w:val="000000"/>
        </w:rPr>
      </w:pPr>
      <w:r w:rsidRPr="00E41507">
        <w:rPr>
          <w:color w:val="000000"/>
        </w:rPr>
        <w:t>Rate of Unintentional Injury Hospitalizations Ages 14 and Under per 10,000 Population Ages 14 and Under , '08 - 10</w:t>
      </w:r>
    </w:p>
    <w:p w:rsidR="001670EC" w:rsidRPr="00E41507" w:rsidRDefault="001670EC" w:rsidP="00521C49">
      <w:pPr>
        <w:pStyle w:val="ListParagraph"/>
        <w:numPr>
          <w:ilvl w:val="0"/>
          <w:numId w:val="16"/>
        </w:numPr>
        <w:spacing w:after="0" w:line="240" w:lineRule="auto"/>
        <w:contextualSpacing w:val="0"/>
      </w:pPr>
      <w:r w:rsidRPr="00E41507">
        <w:rPr>
          <w:color w:val="000000"/>
        </w:rPr>
        <w:t>Rate of Poisoning Hospitalizations per 10,000 Population, '08 – 10</w:t>
      </w:r>
    </w:p>
    <w:p w:rsidR="001670EC" w:rsidRDefault="001670EC" w:rsidP="00DE21D2">
      <w:pPr>
        <w:pStyle w:val="ListParagraph"/>
        <w:spacing w:after="0" w:line="240" w:lineRule="auto"/>
        <w:ind w:left="360"/>
        <w:contextualSpacing w:val="0"/>
        <w:rPr>
          <w:rFonts w:ascii="Times New Roman" w:hAnsi="Times New Roman"/>
          <w:color w:val="000000"/>
          <w:sz w:val="24"/>
          <w:szCs w:val="24"/>
        </w:rPr>
      </w:pPr>
    </w:p>
    <w:p w:rsidR="001670EC" w:rsidRPr="00C053D6" w:rsidRDefault="001670EC" w:rsidP="00C053D6">
      <w:pPr>
        <w:rPr>
          <w:rFonts w:cs="Tahoma"/>
        </w:rPr>
      </w:pPr>
      <w:r w:rsidRPr="00C053D6">
        <w:rPr>
          <w:rFonts w:cs="Tahoma"/>
        </w:rPr>
        <w:t>Fulton County has a high rate of unintentional injury mortality and motor vehicle deaths.  There is a lack of professional driving education for youth through the school systems.  Several deaths have occurred on the Great Sacandaga Lake during the winter months when snowmobile operators either hit obstacles or fell through thin ice.  Alcohol was implicated in several of the deaths</w:t>
      </w:r>
      <w:r>
        <w:rPr>
          <w:rFonts w:cs="Tahoma"/>
        </w:rPr>
        <w:t>.</w:t>
      </w:r>
    </w:p>
    <w:p w:rsidR="001670EC" w:rsidRPr="00E41507" w:rsidRDefault="001670EC" w:rsidP="00E41507">
      <w:pPr>
        <w:pStyle w:val="ListParagraph"/>
        <w:spacing w:after="0" w:line="240" w:lineRule="auto"/>
        <w:ind w:left="0"/>
        <w:contextualSpacing w:val="0"/>
        <w:rPr>
          <w:b/>
        </w:rPr>
      </w:pPr>
      <w:r w:rsidRPr="00E41507">
        <w:rPr>
          <w:b/>
        </w:rPr>
        <w:t>Regional Challenges</w:t>
      </w:r>
    </w:p>
    <w:tbl>
      <w:tblPr>
        <w:tblW w:w="0" w:type="auto"/>
        <w:tblCellMar>
          <w:left w:w="0" w:type="dxa"/>
          <w:right w:w="0" w:type="dxa"/>
        </w:tblCellMar>
        <w:tblLook w:val="00A0"/>
      </w:tblPr>
      <w:tblGrid>
        <w:gridCol w:w="5626"/>
        <w:gridCol w:w="1212"/>
        <w:gridCol w:w="1488"/>
        <w:gridCol w:w="1322"/>
      </w:tblGrid>
      <w:tr w:rsidR="001670EC" w:rsidRPr="00680D98" w:rsidTr="005A07D5">
        <w:trPr>
          <w:trHeight w:val="366"/>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Indicator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Fulton 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Montgomery</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Benchmark </w:t>
            </w:r>
          </w:p>
        </w:tc>
      </w:tr>
      <w:tr w:rsidR="001670EC" w:rsidRPr="00680D98" w:rsidTr="005A07D5">
        <w:trPr>
          <w:trHeight w:val="36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ED Visits for falls for Children ages 1 – 4 per 10,000 children ages 1-4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782.9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713.9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429.1 </w:t>
            </w:r>
          </w:p>
        </w:tc>
      </w:tr>
      <w:tr w:rsidR="001670EC" w:rsidRPr="00680D98" w:rsidTr="005A07D5">
        <w:trPr>
          <w:trHeight w:val="52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hospitalizations due to falls for individuals ages 65 plus per 10,000 individuals ages 65 plus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205.3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300.3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204.6 </w:t>
            </w:r>
          </w:p>
        </w:tc>
      </w:tr>
      <w:tr w:rsidR="001670EC" w:rsidRPr="00680D98" w:rsidTr="005A07D5">
        <w:trPr>
          <w:trHeight w:val="68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ED occupational injuries among working adolescents ages 15 – 19 per 10,000 working adolescents ages 15 – 19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87.6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127.2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33.0 </w:t>
            </w:r>
          </w:p>
        </w:tc>
      </w:tr>
      <w:tr w:rsidR="001670EC" w:rsidRPr="00680D98" w:rsidTr="005A07D5">
        <w:trPr>
          <w:trHeight w:val="52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unintentional injury hospitalizations ages 14 and under per 10,000 population ages 14 and under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27.9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26.6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21.0 </w:t>
            </w:r>
          </w:p>
        </w:tc>
      </w:tr>
      <w:tr w:rsidR="001670EC" w:rsidRPr="00680D98" w:rsidTr="005A07D5">
        <w:trPr>
          <w:trHeight w:val="36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poisoning hospitalizations per 10,000 population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13.1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14.3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10.3 </w:t>
            </w:r>
          </w:p>
        </w:tc>
      </w:tr>
    </w:tbl>
    <w:p w:rsidR="001670EC" w:rsidRDefault="001670EC" w:rsidP="00F26D11">
      <w:pPr>
        <w:pStyle w:val="NoSpacing"/>
        <w:rPr>
          <w:b/>
          <w:u w:val="single"/>
        </w:rPr>
      </w:pPr>
    </w:p>
    <w:p w:rsidR="001670EC" w:rsidRDefault="001670EC" w:rsidP="00F26D11">
      <w:pPr>
        <w:pStyle w:val="NoSpacing"/>
        <w:rPr>
          <w:b/>
          <w:u w:val="single"/>
        </w:rPr>
      </w:pPr>
    </w:p>
    <w:p w:rsidR="001670EC" w:rsidRDefault="001670EC" w:rsidP="00F26D11">
      <w:pPr>
        <w:pStyle w:val="NoSpacing"/>
        <w:rPr>
          <w:b/>
          <w:u w:val="single"/>
        </w:rPr>
      </w:pPr>
      <w:r>
        <w:rPr>
          <w:b/>
          <w:u w:val="single"/>
        </w:rPr>
        <w:lastRenderedPageBreak/>
        <w:t>Stakeholder input</w:t>
      </w:r>
    </w:p>
    <w:p w:rsidR="001670EC" w:rsidRDefault="001670EC" w:rsidP="00F26D11">
      <w:pPr>
        <w:pStyle w:val="NoSpacing"/>
        <w:rPr>
          <w:b/>
          <w:u w:val="single"/>
        </w:rPr>
      </w:pPr>
    </w:p>
    <w:p w:rsidR="001670EC" w:rsidRDefault="001670EC" w:rsidP="00F26D11">
      <w:pPr>
        <w:pStyle w:val="NoSpacing"/>
      </w:pPr>
      <w:r w:rsidRPr="006655C3">
        <w:t>Our stakeholders</w:t>
      </w:r>
      <w:r>
        <w:t xml:space="preserve"> concurred that the d</w:t>
      </w:r>
      <w:r w:rsidRPr="006655C3">
        <w:t xml:space="preserve">ata </w:t>
      </w:r>
      <w:r>
        <w:t xml:space="preserve">presented </w:t>
      </w:r>
      <w:r w:rsidRPr="006655C3">
        <w:t>accurate</w:t>
      </w:r>
      <w:r>
        <w:t>ly describes issues in the community, but also felt that more information was needed, especially the type of fall, and when falls occur.  Child poisonings were due to access to adult medication. The rate of occupational injury ED (ER) visits may be a reflection of workplace policy that requires an ER visit in any incident that may result in workman’s compensation, and may not represent the seriousness of injury.  A lack of urgent care facilities in the community may result in inappropriate use of the ER due to limited access to providers after hours and on weekends.  They also felt that there was an “E</w:t>
      </w:r>
      <w:r w:rsidR="000572BC">
        <w:t>R</w:t>
      </w:r>
      <w:r>
        <w:t xml:space="preserve"> mindset” in our community that needs to be addressed through education.</w:t>
      </w:r>
    </w:p>
    <w:p w:rsidR="001670EC" w:rsidRDefault="001670EC" w:rsidP="00F26D11">
      <w:pPr>
        <w:pStyle w:val="NoSpacing"/>
      </w:pPr>
    </w:p>
    <w:p w:rsidR="001670EC" w:rsidRPr="006655C3" w:rsidRDefault="001670EC" w:rsidP="00F26D11">
      <w:pPr>
        <w:pStyle w:val="NoSpacing"/>
      </w:pPr>
      <w:r>
        <w:t>Challenges that face our community are a need for Urgent Care facilities, lack of transportation, and educational, community and cultural norms that limit the ability to make changes.  Special Needs Populations and the Elderly should be the focus for this area.</w:t>
      </w:r>
    </w:p>
    <w:p w:rsidR="001670EC" w:rsidRPr="006655C3" w:rsidRDefault="001670EC" w:rsidP="00BF5390">
      <w:pPr>
        <w:pStyle w:val="NoSpacing"/>
      </w:pPr>
    </w:p>
    <w:p w:rsidR="001670EC" w:rsidRPr="00966B06" w:rsidRDefault="001670EC" w:rsidP="00966B06">
      <w:pPr>
        <w:pStyle w:val="ListParagraph"/>
        <w:spacing w:after="0" w:line="240" w:lineRule="auto"/>
        <w:ind w:left="0"/>
        <w:contextualSpacing w:val="0"/>
        <w:rPr>
          <w:b/>
          <w:sz w:val="28"/>
          <w:szCs w:val="28"/>
        </w:rPr>
      </w:pPr>
      <w:r w:rsidRPr="00966B06">
        <w:rPr>
          <w:b/>
          <w:sz w:val="28"/>
          <w:szCs w:val="28"/>
        </w:rPr>
        <w:t>Prevent Chronic Disease</w:t>
      </w:r>
    </w:p>
    <w:p w:rsidR="001670EC" w:rsidRDefault="001670EC" w:rsidP="00966B06">
      <w:pPr>
        <w:pStyle w:val="ListParagraph"/>
        <w:spacing w:after="0" w:line="240" w:lineRule="auto"/>
        <w:ind w:left="0"/>
        <w:contextualSpacing w:val="0"/>
        <w:rPr>
          <w:b/>
        </w:rPr>
      </w:pPr>
    </w:p>
    <w:p w:rsidR="001670EC" w:rsidRPr="00966B06" w:rsidRDefault="001670EC" w:rsidP="00966B06">
      <w:pPr>
        <w:pStyle w:val="ListParagraph"/>
        <w:spacing w:after="0" w:line="240" w:lineRule="auto"/>
        <w:ind w:left="0"/>
        <w:contextualSpacing w:val="0"/>
        <w:rPr>
          <w:b/>
        </w:rPr>
      </w:pPr>
      <w:r w:rsidRPr="00966B06">
        <w:rPr>
          <w:b/>
        </w:rPr>
        <w:t>Focus Area: Reduce Obesity in Children &amp; Adults</w:t>
      </w:r>
    </w:p>
    <w:p w:rsidR="001670EC" w:rsidRPr="00E41507" w:rsidRDefault="001670EC" w:rsidP="00966B06">
      <w:pPr>
        <w:pStyle w:val="ListParagraph"/>
        <w:spacing w:after="0" w:line="240" w:lineRule="auto"/>
        <w:ind w:left="0"/>
        <w:contextualSpacing w:val="0"/>
        <w:rPr>
          <w:b/>
        </w:rPr>
      </w:pPr>
    </w:p>
    <w:p w:rsidR="001670EC" w:rsidRPr="00E41507" w:rsidRDefault="001670EC" w:rsidP="00521C49">
      <w:pPr>
        <w:numPr>
          <w:ilvl w:val="1"/>
          <w:numId w:val="6"/>
        </w:numPr>
        <w:spacing w:after="0" w:line="240" w:lineRule="auto"/>
        <w:rPr>
          <w:color w:val="000000"/>
        </w:rPr>
      </w:pPr>
      <w:r w:rsidRPr="00E41507">
        <w:rPr>
          <w:color w:val="000000"/>
        </w:rPr>
        <w:t>Percentage of Adults Ages 18 Plus Who are Obese, '08/09</w:t>
      </w:r>
    </w:p>
    <w:p w:rsidR="001670EC" w:rsidRPr="00E41507" w:rsidRDefault="001670EC" w:rsidP="00521C49">
      <w:pPr>
        <w:pStyle w:val="ListParagraph"/>
        <w:numPr>
          <w:ilvl w:val="1"/>
          <w:numId w:val="6"/>
        </w:numPr>
        <w:spacing w:after="0" w:line="240" w:lineRule="auto"/>
        <w:contextualSpacing w:val="0"/>
      </w:pPr>
      <w:r w:rsidRPr="00E41507">
        <w:rPr>
          <w:color w:val="000000"/>
        </w:rPr>
        <w:t>Percentage of Public School Children Who are Obese, '10 – 12</w:t>
      </w:r>
    </w:p>
    <w:p w:rsidR="001670EC" w:rsidRDefault="001670EC" w:rsidP="00DE21D2">
      <w:pPr>
        <w:pStyle w:val="ListParagraph"/>
        <w:spacing w:after="0" w:line="240" w:lineRule="auto"/>
        <w:ind w:left="0"/>
        <w:contextualSpacing w:val="0"/>
      </w:pPr>
    </w:p>
    <w:p w:rsidR="001670EC" w:rsidRPr="00BF5390" w:rsidRDefault="001670EC" w:rsidP="00DE21D2">
      <w:pPr>
        <w:pStyle w:val="ListParagraph"/>
        <w:spacing w:after="0" w:line="240" w:lineRule="auto"/>
        <w:ind w:left="0"/>
        <w:contextualSpacing w:val="0"/>
        <w:rPr>
          <w:rFonts w:cs="Tahoma"/>
        </w:rPr>
      </w:pPr>
      <w:r w:rsidRPr="00BF5390">
        <w:rPr>
          <w:rFonts w:cs="Tahoma"/>
        </w:rPr>
        <w:t xml:space="preserve">Obesity and a poor diet are known risk factors for many chronic diseases.  Children </w:t>
      </w:r>
      <w:r>
        <w:rPr>
          <w:rFonts w:cs="Tahoma"/>
        </w:rPr>
        <w:t xml:space="preserve">as well as adults are </w:t>
      </w:r>
      <w:r w:rsidRPr="00BF5390">
        <w:rPr>
          <w:rFonts w:cs="Tahoma"/>
        </w:rPr>
        <w:t xml:space="preserve"> a concern for obesity prevention.  Although present data does not indicate an increase in obesity among our children, the burden in the adult population may signal a rise in the younger population in the near future as poor nutritional practices in the home begin to affect the younger population.  </w:t>
      </w:r>
    </w:p>
    <w:p w:rsidR="001670EC" w:rsidRPr="00DE21D2" w:rsidRDefault="001670EC" w:rsidP="00DE21D2">
      <w:pPr>
        <w:pStyle w:val="ListParagraph"/>
        <w:spacing w:after="0" w:line="240" w:lineRule="auto"/>
        <w:ind w:left="0"/>
        <w:contextualSpacing w:val="0"/>
        <w:rPr>
          <w:color w:val="365F91"/>
        </w:rPr>
      </w:pPr>
    </w:p>
    <w:p w:rsidR="001670EC" w:rsidRPr="00E41507" w:rsidRDefault="001670EC" w:rsidP="00E41507">
      <w:pPr>
        <w:pStyle w:val="ListParagraph"/>
        <w:spacing w:after="0" w:line="240" w:lineRule="auto"/>
        <w:ind w:left="0"/>
        <w:contextualSpacing w:val="0"/>
        <w:rPr>
          <w:b/>
          <w:bCs/>
          <w:color w:val="000000"/>
        </w:rPr>
      </w:pPr>
      <w:r w:rsidRPr="00E41507">
        <w:rPr>
          <w:b/>
          <w:bCs/>
          <w:color w:val="000000"/>
        </w:rPr>
        <w:t>Other Indicators</w:t>
      </w:r>
    </w:p>
    <w:p w:rsidR="001670EC" w:rsidRDefault="001670EC" w:rsidP="00FB663A">
      <w:pPr>
        <w:pStyle w:val="ListParagraph"/>
        <w:spacing w:after="0" w:line="240" w:lineRule="auto"/>
        <w:contextualSpacing w:val="0"/>
        <w:rPr>
          <w:rFonts w:ascii="Times New Roman" w:hAnsi="Times New Roman"/>
          <w:b/>
          <w:bCs/>
          <w:color w:val="000000"/>
          <w:sz w:val="24"/>
          <w:szCs w:val="24"/>
        </w:rPr>
      </w:pPr>
    </w:p>
    <w:p w:rsidR="001670EC" w:rsidRPr="00E41507" w:rsidRDefault="001670EC" w:rsidP="00521C49">
      <w:pPr>
        <w:numPr>
          <w:ilvl w:val="0"/>
          <w:numId w:val="17"/>
        </w:numPr>
        <w:spacing w:after="0" w:line="240" w:lineRule="auto"/>
        <w:rPr>
          <w:color w:val="000000"/>
        </w:rPr>
      </w:pPr>
      <w:r w:rsidRPr="00E41507">
        <w:rPr>
          <w:color w:val="000000"/>
        </w:rPr>
        <w:t>Number of Recreational and Fitness Facilities per 100,000 Population, 2009</w:t>
      </w:r>
    </w:p>
    <w:p w:rsidR="001670EC" w:rsidRPr="00E41507" w:rsidRDefault="001670EC" w:rsidP="00521C49">
      <w:pPr>
        <w:numPr>
          <w:ilvl w:val="0"/>
          <w:numId w:val="17"/>
        </w:numPr>
        <w:spacing w:after="0" w:line="240" w:lineRule="auto"/>
        <w:rPr>
          <w:color w:val="000000"/>
        </w:rPr>
      </w:pPr>
      <w:r w:rsidRPr="00E41507">
        <w:rPr>
          <w:color w:val="000000"/>
        </w:rPr>
        <w:t>Percentage of Age Adjusted Adults (Ages 18 Plus) Eating Five or More Vegetables per Day, '08/09</w:t>
      </w:r>
    </w:p>
    <w:p w:rsidR="001670EC" w:rsidRPr="00E41507" w:rsidRDefault="001670EC" w:rsidP="00521C49">
      <w:pPr>
        <w:numPr>
          <w:ilvl w:val="0"/>
          <w:numId w:val="17"/>
        </w:numPr>
        <w:spacing w:after="0" w:line="240" w:lineRule="auto"/>
        <w:rPr>
          <w:color w:val="000000"/>
        </w:rPr>
      </w:pPr>
      <w:r w:rsidRPr="00E41507">
        <w:rPr>
          <w:color w:val="000000"/>
        </w:rPr>
        <w:t>Percentage of Age Adjusted Adults (Ages 18 Plus) with Cholesterol Check within the Last Five Years, '08/09</w:t>
      </w:r>
    </w:p>
    <w:p w:rsidR="001670EC" w:rsidRPr="00E41507" w:rsidRDefault="001670EC" w:rsidP="00521C49">
      <w:pPr>
        <w:numPr>
          <w:ilvl w:val="0"/>
          <w:numId w:val="17"/>
        </w:numPr>
        <w:spacing w:after="0" w:line="240" w:lineRule="auto"/>
        <w:rPr>
          <w:color w:val="000000"/>
        </w:rPr>
      </w:pPr>
      <w:r w:rsidRPr="00E41507">
        <w:rPr>
          <w:color w:val="000000"/>
        </w:rPr>
        <w:t>Percentage of Age Adjusted Adults (18 Plus) Ever Diagnosed with High Blood Pressure, '08/09</w:t>
      </w:r>
    </w:p>
    <w:p w:rsidR="001670EC" w:rsidRPr="00E41507" w:rsidRDefault="001670EC" w:rsidP="00521C49">
      <w:pPr>
        <w:numPr>
          <w:ilvl w:val="0"/>
          <w:numId w:val="17"/>
        </w:numPr>
        <w:spacing w:after="0" w:line="240" w:lineRule="auto"/>
        <w:rPr>
          <w:color w:val="000000"/>
        </w:rPr>
      </w:pPr>
      <w:r w:rsidRPr="00E41507">
        <w:rPr>
          <w:color w:val="000000"/>
        </w:rPr>
        <w:t>Percentage of Age Adjusted Adults (18 Plus) with Physician Diagnoses Angina, Heart Attack, or Stroke, '08/09</w:t>
      </w:r>
    </w:p>
    <w:p w:rsidR="001670EC" w:rsidRPr="00E41507" w:rsidRDefault="001670EC" w:rsidP="00521C49">
      <w:pPr>
        <w:numPr>
          <w:ilvl w:val="0"/>
          <w:numId w:val="17"/>
        </w:numPr>
        <w:spacing w:after="0" w:line="240" w:lineRule="auto"/>
        <w:rPr>
          <w:color w:val="000000"/>
        </w:rPr>
      </w:pPr>
      <w:r w:rsidRPr="00E41507">
        <w:rPr>
          <w:color w:val="000000"/>
        </w:rPr>
        <w:t>Rate of Cardiovascular Disease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Cardiovascular Premature Deaths ( Ages 35 - 64) per 100,000 Population Ages 35 - 64, '08 - 10</w:t>
      </w:r>
    </w:p>
    <w:p w:rsidR="001670EC" w:rsidRPr="00E41507" w:rsidRDefault="001670EC" w:rsidP="00521C49">
      <w:pPr>
        <w:numPr>
          <w:ilvl w:val="0"/>
          <w:numId w:val="17"/>
        </w:numPr>
        <w:spacing w:after="0" w:line="240" w:lineRule="auto"/>
        <w:rPr>
          <w:color w:val="000000"/>
        </w:rPr>
      </w:pPr>
      <w:r w:rsidRPr="00E41507">
        <w:rPr>
          <w:color w:val="000000"/>
        </w:rPr>
        <w:t>Rate of Pretransport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Cardiovascular Hospitalizations per 10,000 Population, '08 - 10</w:t>
      </w:r>
    </w:p>
    <w:p w:rsidR="001670EC" w:rsidRPr="00E41507" w:rsidRDefault="001670EC" w:rsidP="00521C49">
      <w:pPr>
        <w:numPr>
          <w:ilvl w:val="0"/>
          <w:numId w:val="17"/>
        </w:numPr>
        <w:spacing w:after="0" w:line="240" w:lineRule="auto"/>
        <w:rPr>
          <w:color w:val="000000"/>
        </w:rPr>
      </w:pPr>
      <w:r w:rsidRPr="00E41507">
        <w:rPr>
          <w:color w:val="000000"/>
        </w:rPr>
        <w:t>Rate of Diseases of the Heart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Diseases of the Heart Premature Deaths ( Ages 35 - 64) per 100,000 Population Ages 35 - 64, '08 - 10</w:t>
      </w:r>
    </w:p>
    <w:p w:rsidR="001670EC" w:rsidRPr="00E41507" w:rsidRDefault="001670EC" w:rsidP="00521C49">
      <w:pPr>
        <w:numPr>
          <w:ilvl w:val="0"/>
          <w:numId w:val="17"/>
        </w:numPr>
        <w:spacing w:after="0" w:line="240" w:lineRule="auto"/>
        <w:rPr>
          <w:color w:val="000000"/>
        </w:rPr>
      </w:pPr>
      <w:r w:rsidRPr="00E41507">
        <w:rPr>
          <w:color w:val="000000"/>
        </w:rPr>
        <w:t>Rate of Disease of the Heart Transport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Disease of the Heart Hospitalizations per 10,000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Coronary Heart Diseases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lastRenderedPageBreak/>
        <w:t>Rate of Coronary Heart Diseases Premature Deaths (Ages 35 - 64) per 100,000 Population Ages 35 - 64, '08 - 10</w:t>
      </w:r>
    </w:p>
    <w:p w:rsidR="001670EC" w:rsidRPr="00E41507" w:rsidRDefault="001670EC" w:rsidP="00521C49">
      <w:pPr>
        <w:numPr>
          <w:ilvl w:val="0"/>
          <w:numId w:val="17"/>
        </w:numPr>
        <w:spacing w:after="0" w:line="240" w:lineRule="auto"/>
        <w:rPr>
          <w:color w:val="000000"/>
        </w:rPr>
      </w:pPr>
      <w:r w:rsidRPr="00E41507">
        <w:rPr>
          <w:color w:val="000000"/>
        </w:rPr>
        <w:t>Rate of Coronary Heart Disease Transport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Coronary Heart Disease Hospitalizations per 10,000 Population, '08 - 10</w:t>
      </w:r>
    </w:p>
    <w:p w:rsidR="001670EC" w:rsidRPr="00E41507" w:rsidRDefault="001670EC" w:rsidP="00521C49">
      <w:pPr>
        <w:numPr>
          <w:ilvl w:val="0"/>
          <w:numId w:val="17"/>
        </w:numPr>
        <w:spacing w:after="0" w:line="240" w:lineRule="auto"/>
        <w:rPr>
          <w:color w:val="000000"/>
        </w:rPr>
      </w:pPr>
      <w:r>
        <w:rPr>
          <w:color w:val="000000"/>
        </w:rPr>
        <w:t>R</w:t>
      </w:r>
      <w:r w:rsidRPr="00E41507">
        <w:rPr>
          <w:color w:val="000000"/>
        </w:rPr>
        <w:t>ate of Congestive Heart Failure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Congestive Heart Failure Transport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Congestive Heart Failure Hospitalizations per 10,000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Cerebrovascular (Stroke) Deaths per 100,000 Population, '08 - 10</w:t>
      </w:r>
    </w:p>
    <w:p w:rsidR="001670EC" w:rsidRPr="00E41507" w:rsidRDefault="001670EC" w:rsidP="00521C49">
      <w:pPr>
        <w:numPr>
          <w:ilvl w:val="0"/>
          <w:numId w:val="17"/>
        </w:numPr>
        <w:spacing w:after="0" w:line="240" w:lineRule="auto"/>
        <w:rPr>
          <w:color w:val="000000"/>
        </w:rPr>
      </w:pPr>
      <w:r w:rsidRPr="00E41507">
        <w:rPr>
          <w:color w:val="000000"/>
        </w:rPr>
        <w:t>Rate of Cerebrovascular (Stroke) Hospitalizations per 10,000 Population, '08 - 10</w:t>
      </w:r>
    </w:p>
    <w:p w:rsidR="001670EC" w:rsidRPr="00E41507" w:rsidRDefault="001670EC" w:rsidP="00521C49">
      <w:pPr>
        <w:numPr>
          <w:ilvl w:val="0"/>
          <w:numId w:val="17"/>
        </w:numPr>
        <w:spacing w:after="0" w:line="240" w:lineRule="auto"/>
        <w:rPr>
          <w:color w:val="000000"/>
        </w:rPr>
      </w:pPr>
      <w:r w:rsidRPr="00E41507">
        <w:rPr>
          <w:color w:val="000000"/>
        </w:rPr>
        <w:t>Rate of Diabetes Hospitalizations (Primary Diagnosis) per 10,000 Population, '08 - 10</w:t>
      </w:r>
    </w:p>
    <w:p w:rsidR="001670EC" w:rsidRDefault="001670EC" w:rsidP="00521C49">
      <w:pPr>
        <w:pStyle w:val="ListParagraph"/>
        <w:numPr>
          <w:ilvl w:val="0"/>
          <w:numId w:val="17"/>
        </w:numPr>
        <w:spacing w:after="0" w:line="240" w:lineRule="auto"/>
        <w:contextualSpacing w:val="0"/>
      </w:pPr>
      <w:r w:rsidRPr="00E41507">
        <w:rPr>
          <w:color w:val="000000"/>
        </w:rPr>
        <w:t>Rate of Diabetes Hospitalizations (Any Diagnosis) per 10,000 Population, '08 - 10</w:t>
      </w:r>
    </w:p>
    <w:p w:rsidR="001670EC" w:rsidRDefault="001670EC" w:rsidP="002736AE">
      <w:pPr>
        <w:pStyle w:val="ListParagraph"/>
        <w:spacing w:after="0" w:line="240" w:lineRule="auto"/>
        <w:ind w:left="1080"/>
        <w:contextualSpacing w:val="0"/>
      </w:pPr>
    </w:p>
    <w:p w:rsidR="001670EC" w:rsidRDefault="001670EC" w:rsidP="00E41507">
      <w:pPr>
        <w:pStyle w:val="ListParagraph"/>
        <w:spacing w:after="0" w:line="240" w:lineRule="auto"/>
        <w:ind w:left="1440"/>
        <w:contextualSpacing w:val="0"/>
      </w:pPr>
    </w:p>
    <w:p w:rsidR="001670EC" w:rsidRPr="00E41507" w:rsidRDefault="001670EC" w:rsidP="002736AE">
      <w:pPr>
        <w:pStyle w:val="ListParagraph"/>
        <w:spacing w:after="0" w:line="240" w:lineRule="auto"/>
        <w:ind w:left="0"/>
        <w:contextualSpacing w:val="0"/>
        <w:rPr>
          <w:b/>
        </w:rPr>
      </w:pPr>
      <w:r>
        <w:rPr>
          <w:b/>
        </w:rPr>
        <w:t xml:space="preserve">Focus area:  </w:t>
      </w:r>
      <w:r w:rsidRPr="00E41507">
        <w:rPr>
          <w:b/>
        </w:rPr>
        <w:t>Reduce Illness, Disability and Death Related to Tobacco Use &amp; Secondhand Smoke</w:t>
      </w:r>
    </w:p>
    <w:p w:rsidR="001670EC" w:rsidRPr="00E41507" w:rsidRDefault="001670EC" w:rsidP="002736AE">
      <w:pPr>
        <w:pStyle w:val="ListParagraph"/>
        <w:spacing w:after="0" w:line="240" w:lineRule="auto"/>
        <w:ind w:left="0"/>
        <w:contextualSpacing w:val="0"/>
        <w:rPr>
          <w:b/>
          <w:bCs/>
          <w:color w:val="000000"/>
        </w:rPr>
      </w:pPr>
      <w:r w:rsidRPr="00E41507">
        <w:rPr>
          <w:b/>
          <w:bCs/>
          <w:color w:val="000000"/>
        </w:rPr>
        <w:t>Prevention Agenda Indicators</w:t>
      </w:r>
    </w:p>
    <w:p w:rsidR="001670EC" w:rsidRPr="00E41507" w:rsidRDefault="001670EC" w:rsidP="00521C49">
      <w:pPr>
        <w:pStyle w:val="ListParagraph"/>
        <w:numPr>
          <w:ilvl w:val="0"/>
          <w:numId w:val="18"/>
        </w:numPr>
        <w:spacing w:after="0" w:line="240" w:lineRule="auto"/>
        <w:contextualSpacing w:val="0"/>
        <w:rPr>
          <w:color w:val="000000"/>
        </w:rPr>
      </w:pPr>
      <w:r w:rsidRPr="00E41507">
        <w:rPr>
          <w:color w:val="000000"/>
        </w:rPr>
        <w:t>Percentage of Adults Ages 18 Plus Who Smoke '08/09</w:t>
      </w:r>
    </w:p>
    <w:p w:rsidR="001670EC" w:rsidRPr="00E41507" w:rsidRDefault="001670EC" w:rsidP="00FB663A">
      <w:pPr>
        <w:pStyle w:val="ListParagraph"/>
        <w:spacing w:after="0" w:line="240" w:lineRule="auto"/>
        <w:ind w:left="0"/>
        <w:contextualSpacing w:val="0"/>
        <w:rPr>
          <w:b/>
          <w:color w:val="000000"/>
        </w:rPr>
      </w:pPr>
      <w:r w:rsidRPr="00E41507">
        <w:rPr>
          <w:b/>
          <w:color w:val="000000"/>
        </w:rPr>
        <w:t>Other Indicators</w:t>
      </w:r>
    </w:p>
    <w:p w:rsidR="001670EC" w:rsidRPr="00E41507" w:rsidRDefault="001670EC" w:rsidP="00521C49">
      <w:pPr>
        <w:numPr>
          <w:ilvl w:val="0"/>
          <w:numId w:val="18"/>
        </w:numPr>
        <w:spacing w:after="0" w:line="240" w:lineRule="auto"/>
        <w:rPr>
          <w:color w:val="000000"/>
        </w:rPr>
      </w:pPr>
      <w:r w:rsidRPr="00E41507">
        <w:rPr>
          <w:color w:val="000000"/>
        </w:rPr>
        <w:t>Rate of Chronic Lower Respiratory Disease Deaths per 100,000 Population, '08 - 10</w:t>
      </w:r>
    </w:p>
    <w:p w:rsidR="001670EC" w:rsidRPr="00E41507" w:rsidRDefault="001670EC" w:rsidP="00521C49">
      <w:pPr>
        <w:numPr>
          <w:ilvl w:val="0"/>
          <w:numId w:val="18"/>
        </w:numPr>
        <w:spacing w:after="0" w:line="240" w:lineRule="auto"/>
        <w:rPr>
          <w:color w:val="000000"/>
        </w:rPr>
      </w:pPr>
      <w:r w:rsidRPr="00E41507">
        <w:rPr>
          <w:color w:val="000000"/>
        </w:rPr>
        <w:t>Rate of Chronic Lower Respiratory Disease Hospitalizations per 10,000 population, '08 - 10</w:t>
      </w:r>
    </w:p>
    <w:p w:rsidR="001670EC" w:rsidRPr="00E41507" w:rsidRDefault="001670EC" w:rsidP="00521C49">
      <w:pPr>
        <w:numPr>
          <w:ilvl w:val="0"/>
          <w:numId w:val="18"/>
        </w:numPr>
        <w:spacing w:after="0" w:line="240" w:lineRule="auto"/>
        <w:rPr>
          <w:color w:val="000000"/>
        </w:rPr>
      </w:pPr>
      <w:r w:rsidRPr="00E41507">
        <w:rPr>
          <w:color w:val="000000"/>
        </w:rPr>
        <w:t>Rate of Asthma Hospitalizations per 10,000 Population, '08 - 10</w:t>
      </w:r>
    </w:p>
    <w:p w:rsidR="001670EC" w:rsidRPr="00E41507" w:rsidRDefault="001670EC" w:rsidP="00521C49">
      <w:pPr>
        <w:numPr>
          <w:ilvl w:val="0"/>
          <w:numId w:val="18"/>
        </w:numPr>
        <w:spacing w:after="0" w:line="240" w:lineRule="auto"/>
        <w:rPr>
          <w:color w:val="000000"/>
        </w:rPr>
      </w:pPr>
      <w:r w:rsidRPr="00E41507">
        <w:rPr>
          <w:color w:val="000000"/>
        </w:rPr>
        <w:t>Rate of Asthma Hospitalizations, Ages 25 - 44, per 10,000 Population Ages 25 - 44, '08 - 10</w:t>
      </w:r>
    </w:p>
    <w:p w:rsidR="001670EC" w:rsidRPr="00E41507" w:rsidRDefault="001670EC" w:rsidP="00521C49">
      <w:pPr>
        <w:numPr>
          <w:ilvl w:val="0"/>
          <w:numId w:val="18"/>
        </w:numPr>
        <w:spacing w:after="0" w:line="240" w:lineRule="auto"/>
        <w:rPr>
          <w:color w:val="000000"/>
        </w:rPr>
      </w:pPr>
      <w:r w:rsidRPr="00E41507">
        <w:rPr>
          <w:color w:val="000000"/>
        </w:rPr>
        <w:t>Rate of Asthma Hospitalizations, Ages 45 - 64, per 10,000 Population Ages 45 - 64, '08 - 10</w:t>
      </w:r>
    </w:p>
    <w:p w:rsidR="001670EC" w:rsidRPr="00E41507" w:rsidRDefault="001670EC" w:rsidP="00521C49">
      <w:pPr>
        <w:numPr>
          <w:ilvl w:val="0"/>
          <w:numId w:val="18"/>
        </w:numPr>
        <w:spacing w:after="0" w:line="240" w:lineRule="auto"/>
        <w:rPr>
          <w:color w:val="000000"/>
        </w:rPr>
      </w:pPr>
      <w:r w:rsidRPr="00E41507">
        <w:rPr>
          <w:color w:val="000000"/>
        </w:rPr>
        <w:t>Rate of Asthma Hospitalizations, Ages 65 Plus, per 10,000 Population Ages 65 Plus, '08 - 10</w:t>
      </w:r>
    </w:p>
    <w:p w:rsidR="001670EC" w:rsidRPr="00E41507" w:rsidRDefault="001670EC" w:rsidP="00521C49">
      <w:pPr>
        <w:numPr>
          <w:ilvl w:val="0"/>
          <w:numId w:val="18"/>
        </w:numPr>
        <w:spacing w:after="0" w:line="240" w:lineRule="auto"/>
        <w:rPr>
          <w:color w:val="000000"/>
        </w:rPr>
      </w:pPr>
      <w:r w:rsidRPr="00E41507">
        <w:rPr>
          <w:color w:val="000000"/>
        </w:rPr>
        <w:t>Percentage of Adults with Asthma, '08/09</w:t>
      </w:r>
    </w:p>
    <w:p w:rsidR="001670EC" w:rsidRPr="00E41507" w:rsidRDefault="001670EC" w:rsidP="00521C49">
      <w:pPr>
        <w:numPr>
          <w:ilvl w:val="0"/>
          <w:numId w:val="18"/>
        </w:numPr>
        <w:spacing w:after="0" w:line="240" w:lineRule="auto"/>
        <w:rPr>
          <w:color w:val="000000"/>
        </w:rPr>
      </w:pPr>
      <w:r w:rsidRPr="00E41507">
        <w:rPr>
          <w:color w:val="000000"/>
        </w:rPr>
        <w:t>Rate of Lung and Bronchus Deaths per 100,000 Population, '07 - 09</w:t>
      </w:r>
    </w:p>
    <w:p w:rsidR="001670EC" w:rsidRPr="005815E1" w:rsidRDefault="001670EC" w:rsidP="00521C49">
      <w:pPr>
        <w:pStyle w:val="ListParagraph"/>
        <w:numPr>
          <w:ilvl w:val="0"/>
          <w:numId w:val="18"/>
        </w:numPr>
        <w:spacing w:after="0" w:line="240" w:lineRule="auto"/>
        <w:contextualSpacing w:val="0"/>
        <w:rPr>
          <w:b/>
          <w:color w:val="000000"/>
        </w:rPr>
      </w:pPr>
      <w:r w:rsidRPr="00E41507">
        <w:rPr>
          <w:color w:val="000000"/>
        </w:rPr>
        <w:t>Rate of Lung and Bronchus Cases per 100,000 Population, '07- 09</w:t>
      </w:r>
    </w:p>
    <w:p w:rsidR="001670EC" w:rsidRDefault="001670EC" w:rsidP="005815E1">
      <w:pPr>
        <w:pStyle w:val="ListParagraph"/>
        <w:spacing w:after="0" w:line="240" w:lineRule="auto"/>
        <w:ind w:left="0"/>
        <w:contextualSpacing w:val="0"/>
        <w:rPr>
          <w:color w:val="000000"/>
        </w:rPr>
      </w:pPr>
    </w:p>
    <w:p w:rsidR="001670EC" w:rsidRPr="00BF5390" w:rsidRDefault="001670EC" w:rsidP="005815E1">
      <w:pPr>
        <w:pStyle w:val="ListParagraph"/>
        <w:spacing w:after="0" w:line="240" w:lineRule="auto"/>
        <w:ind w:left="0"/>
        <w:contextualSpacing w:val="0"/>
        <w:rPr>
          <w:b/>
        </w:rPr>
      </w:pPr>
      <w:r w:rsidRPr="00BF5390">
        <w:t>Most of our chronic disease issues are associated with tobacco use.  Although there are active partnerships in place to address tobacco use and advertising, tobacco use among adults is significantly higher than the NYS average.</w:t>
      </w:r>
    </w:p>
    <w:p w:rsidR="001670EC" w:rsidRDefault="001670EC" w:rsidP="002736AE">
      <w:pPr>
        <w:pStyle w:val="ListParagraph"/>
        <w:spacing w:after="0" w:line="240" w:lineRule="auto"/>
        <w:ind w:left="0"/>
        <w:contextualSpacing w:val="0"/>
      </w:pPr>
    </w:p>
    <w:p w:rsidR="001670EC" w:rsidRDefault="001670EC" w:rsidP="00E41507">
      <w:pPr>
        <w:pStyle w:val="ListParagraph"/>
        <w:spacing w:after="0" w:line="240" w:lineRule="auto"/>
        <w:ind w:left="0"/>
        <w:contextualSpacing w:val="0"/>
        <w:rPr>
          <w:b/>
        </w:rPr>
      </w:pPr>
      <w:r>
        <w:rPr>
          <w:b/>
        </w:rPr>
        <w:t xml:space="preserve">Focus Area:  </w:t>
      </w:r>
      <w:r w:rsidRPr="0018707F">
        <w:rPr>
          <w:b/>
        </w:rPr>
        <w:t>Increase Access to High Quality Chronic Disease Preventive Care &amp; Management in both Clinical &amp; Community Settings</w:t>
      </w:r>
    </w:p>
    <w:p w:rsidR="001670EC" w:rsidRPr="0018707F" w:rsidRDefault="001670EC" w:rsidP="00E41507">
      <w:pPr>
        <w:pStyle w:val="ListParagraph"/>
        <w:spacing w:after="0" w:line="240" w:lineRule="auto"/>
        <w:ind w:left="0"/>
        <w:contextualSpacing w:val="0"/>
        <w:rPr>
          <w:b/>
        </w:rPr>
      </w:pPr>
    </w:p>
    <w:p w:rsidR="001670EC" w:rsidRPr="0018707F" w:rsidRDefault="001670EC" w:rsidP="002736AE">
      <w:pPr>
        <w:spacing w:after="0" w:line="240" w:lineRule="auto"/>
        <w:rPr>
          <w:b/>
          <w:bCs/>
          <w:color w:val="000000"/>
        </w:rPr>
      </w:pPr>
      <w:r w:rsidRPr="0018707F">
        <w:rPr>
          <w:b/>
          <w:bCs/>
          <w:color w:val="000000"/>
        </w:rPr>
        <w:t>Prevention Agenda Indicators</w:t>
      </w:r>
    </w:p>
    <w:p w:rsidR="001670EC" w:rsidRPr="0018707F" w:rsidRDefault="001670EC" w:rsidP="00521C49">
      <w:pPr>
        <w:numPr>
          <w:ilvl w:val="0"/>
          <w:numId w:val="19"/>
        </w:numPr>
        <w:spacing w:after="0" w:line="240" w:lineRule="auto"/>
        <w:rPr>
          <w:color w:val="000000"/>
        </w:rPr>
      </w:pPr>
      <w:r w:rsidRPr="0018707F">
        <w:rPr>
          <w:color w:val="000000"/>
        </w:rPr>
        <w:t>Percentage of Adults Ages 50 - 75 Who Received Colorectal Screenings Based on Recent Guidelines, '08/09</w:t>
      </w:r>
    </w:p>
    <w:p w:rsidR="001670EC" w:rsidRPr="0018707F" w:rsidRDefault="001670EC" w:rsidP="00521C49">
      <w:pPr>
        <w:numPr>
          <w:ilvl w:val="0"/>
          <w:numId w:val="19"/>
        </w:numPr>
        <w:spacing w:after="0" w:line="240" w:lineRule="auto"/>
        <w:rPr>
          <w:color w:val="000000"/>
        </w:rPr>
      </w:pPr>
      <w:r w:rsidRPr="0018707F">
        <w:rPr>
          <w:color w:val="000000"/>
        </w:rPr>
        <w:t>Rate of Short-term Diabetes Hospitalizations for Ages 6 - 17 per 10,000 Population, Ages 6 - 17, '08 - 10</w:t>
      </w:r>
    </w:p>
    <w:p w:rsidR="001670EC" w:rsidRPr="0018707F" w:rsidRDefault="001670EC" w:rsidP="00521C49">
      <w:pPr>
        <w:numPr>
          <w:ilvl w:val="0"/>
          <w:numId w:val="19"/>
        </w:numPr>
        <w:spacing w:after="0" w:line="240" w:lineRule="auto"/>
        <w:rPr>
          <w:color w:val="000000"/>
        </w:rPr>
      </w:pPr>
      <w:r w:rsidRPr="0018707F">
        <w:rPr>
          <w:color w:val="000000"/>
        </w:rPr>
        <w:t>Rate of Short-term Diabetes Hospitalizations for Ages 18 Plus per 10,000 Population, Ages 18 Plus, '08 - 10</w:t>
      </w:r>
    </w:p>
    <w:p w:rsidR="001670EC" w:rsidRPr="0018707F" w:rsidRDefault="001670EC" w:rsidP="00521C49">
      <w:pPr>
        <w:pStyle w:val="ListParagraph"/>
        <w:numPr>
          <w:ilvl w:val="0"/>
          <w:numId w:val="19"/>
        </w:numPr>
        <w:spacing w:after="0" w:line="240" w:lineRule="auto"/>
        <w:contextualSpacing w:val="0"/>
      </w:pPr>
      <w:r w:rsidRPr="0018707F">
        <w:rPr>
          <w:color w:val="000000"/>
        </w:rPr>
        <w:t>Rate of Age Adjusted Heart Attack Hospitalizations per 10,000 population, 2010</w:t>
      </w:r>
    </w:p>
    <w:p w:rsidR="001670EC" w:rsidRPr="0018707F" w:rsidRDefault="001670EC" w:rsidP="00FB663A">
      <w:pPr>
        <w:pStyle w:val="ListParagraph"/>
        <w:spacing w:after="0" w:line="240" w:lineRule="auto"/>
        <w:ind w:left="0"/>
        <w:contextualSpacing w:val="0"/>
        <w:rPr>
          <w:b/>
          <w:bCs/>
          <w:color w:val="000000"/>
        </w:rPr>
      </w:pPr>
      <w:r w:rsidRPr="0018707F">
        <w:rPr>
          <w:b/>
          <w:bCs/>
          <w:color w:val="000000"/>
        </w:rPr>
        <w:t>Other Indicators</w:t>
      </w:r>
    </w:p>
    <w:p w:rsidR="001670EC" w:rsidRPr="0018707F" w:rsidRDefault="001670EC" w:rsidP="00521C49">
      <w:pPr>
        <w:numPr>
          <w:ilvl w:val="0"/>
          <w:numId w:val="20"/>
        </w:numPr>
        <w:spacing w:after="0" w:line="240" w:lineRule="auto"/>
        <w:rPr>
          <w:color w:val="000000"/>
        </w:rPr>
      </w:pPr>
      <w:r w:rsidRPr="0018707F">
        <w:rPr>
          <w:color w:val="000000"/>
        </w:rPr>
        <w:t>Rate of Asthma ED Visits for Ages 18 - 64 per 10,000 Population Ages 18 - 64, '08 - 10</w:t>
      </w:r>
    </w:p>
    <w:p w:rsidR="001670EC" w:rsidRPr="0018707F" w:rsidRDefault="001670EC" w:rsidP="00521C49">
      <w:pPr>
        <w:numPr>
          <w:ilvl w:val="0"/>
          <w:numId w:val="20"/>
        </w:numPr>
        <w:spacing w:after="0" w:line="240" w:lineRule="auto"/>
        <w:rPr>
          <w:color w:val="000000"/>
        </w:rPr>
      </w:pPr>
      <w:r w:rsidRPr="0018707F">
        <w:rPr>
          <w:color w:val="000000"/>
        </w:rPr>
        <w:t>Rate of Asthma ED Visits for Ages 65 Plus per 10,000 Population Ages 65 Plus, '08 - 10</w:t>
      </w:r>
    </w:p>
    <w:p w:rsidR="001670EC" w:rsidRPr="0018707F" w:rsidRDefault="001670EC" w:rsidP="00521C49">
      <w:pPr>
        <w:numPr>
          <w:ilvl w:val="0"/>
          <w:numId w:val="20"/>
        </w:numPr>
        <w:spacing w:after="0" w:line="240" w:lineRule="auto"/>
        <w:rPr>
          <w:color w:val="000000"/>
        </w:rPr>
      </w:pPr>
      <w:r w:rsidRPr="0018707F">
        <w:rPr>
          <w:color w:val="000000"/>
        </w:rPr>
        <w:t>Rate of All Cancer Cases per 100,000 Population, '07 - 09</w:t>
      </w:r>
    </w:p>
    <w:p w:rsidR="001670EC" w:rsidRPr="0018707F" w:rsidRDefault="001670EC" w:rsidP="00521C49">
      <w:pPr>
        <w:numPr>
          <w:ilvl w:val="0"/>
          <w:numId w:val="20"/>
        </w:numPr>
        <w:spacing w:after="0" w:line="240" w:lineRule="auto"/>
        <w:rPr>
          <w:color w:val="000000"/>
        </w:rPr>
      </w:pPr>
      <w:r w:rsidRPr="0018707F">
        <w:rPr>
          <w:color w:val="000000"/>
        </w:rPr>
        <w:t>Rate of all Cancer Deaths per 100,000 Population, '07 - 09</w:t>
      </w:r>
    </w:p>
    <w:p w:rsidR="001670EC" w:rsidRPr="0018707F" w:rsidRDefault="001670EC" w:rsidP="00521C49">
      <w:pPr>
        <w:numPr>
          <w:ilvl w:val="0"/>
          <w:numId w:val="20"/>
        </w:numPr>
        <w:spacing w:after="0" w:line="240" w:lineRule="auto"/>
        <w:rPr>
          <w:color w:val="000000"/>
        </w:rPr>
      </w:pPr>
      <w:r w:rsidRPr="0018707F">
        <w:rPr>
          <w:color w:val="000000"/>
        </w:rPr>
        <w:t>Percentage of Women Ages 18 Plus with a Pap Smear within the Last Three Years, '08/ 09</w:t>
      </w:r>
    </w:p>
    <w:p w:rsidR="001670EC" w:rsidRPr="0018707F" w:rsidRDefault="001670EC" w:rsidP="00521C49">
      <w:pPr>
        <w:numPr>
          <w:ilvl w:val="0"/>
          <w:numId w:val="20"/>
        </w:numPr>
        <w:spacing w:after="0" w:line="240" w:lineRule="auto"/>
        <w:rPr>
          <w:color w:val="000000"/>
        </w:rPr>
      </w:pPr>
      <w:r w:rsidRPr="0018707F">
        <w:rPr>
          <w:color w:val="000000"/>
        </w:rPr>
        <w:lastRenderedPageBreak/>
        <w:t>Rate of Colon and Rectum Cancer Cases per 100,000 Population, '07 - 09</w:t>
      </w:r>
    </w:p>
    <w:p w:rsidR="001670EC" w:rsidRPr="0018707F" w:rsidRDefault="001670EC" w:rsidP="00521C49">
      <w:pPr>
        <w:numPr>
          <w:ilvl w:val="0"/>
          <w:numId w:val="20"/>
        </w:numPr>
        <w:spacing w:after="0" w:line="240" w:lineRule="auto"/>
        <w:rPr>
          <w:color w:val="000000"/>
        </w:rPr>
      </w:pPr>
      <w:r w:rsidRPr="0018707F">
        <w:rPr>
          <w:color w:val="000000"/>
        </w:rPr>
        <w:t>Rate of Colon and Rectum Cancer Deaths per 100,000 Population, '07 - 09</w:t>
      </w:r>
    </w:p>
    <w:p w:rsidR="001670EC" w:rsidRPr="0018707F" w:rsidRDefault="001670EC" w:rsidP="00521C49">
      <w:pPr>
        <w:numPr>
          <w:ilvl w:val="0"/>
          <w:numId w:val="20"/>
        </w:numPr>
        <w:spacing w:after="0" w:line="240" w:lineRule="auto"/>
        <w:rPr>
          <w:color w:val="000000"/>
        </w:rPr>
      </w:pPr>
      <w:r w:rsidRPr="0018707F">
        <w:rPr>
          <w:color w:val="000000"/>
        </w:rPr>
        <w:t>Percentage of Adults Ages 50 Plus with Home Blood Stool Test within the Last Two Years, '08/09</w:t>
      </w:r>
    </w:p>
    <w:p w:rsidR="001670EC" w:rsidRPr="0018707F" w:rsidRDefault="001670EC" w:rsidP="00521C49">
      <w:pPr>
        <w:numPr>
          <w:ilvl w:val="0"/>
          <w:numId w:val="20"/>
        </w:numPr>
        <w:spacing w:after="0" w:line="240" w:lineRule="auto"/>
        <w:rPr>
          <w:color w:val="000000"/>
        </w:rPr>
      </w:pPr>
      <w:r w:rsidRPr="0018707F">
        <w:rPr>
          <w:color w:val="000000"/>
        </w:rPr>
        <w:t>Percentage of Adults Ages 50 Plus with Sigmoidoscopy or Colonoscopy within Last Ten Years, '08/09</w:t>
      </w:r>
    </w:p>
    <w:p w:rsidR="001670EC" w:rsidRPr="0018707F" w:rsidRDefault="001670EC" w:rsidP="00521C49">
      <w:pPr>
        <w:numPr>
          <w:ilvl w:val="0"/>
          <w:numId w:val="20"/>
        </w:numPr>
        <w:spacing w:after="0" w:line="240" w:lineRule="auto"/>
        <w:rPr>
          <w:color w:val="000000"/>
        </w:rPr>
      </w:pPr>
      <w:r w:rsidRPr="0018707F">
        <w:rPr>
          <w:color w:val="000000"/>
        </w:rPr>
        <w:t>Rate of Prostate Cancer Cases per 100,000 Male Population, '07 - 09</w:t>
      </w:r>
    </w:p>
    <w:p w:rsidR="001670EC" w:rsidRPr="0018707F" w:rsidRDefault="001670EC" w:rsidP="00521C49">
      <w:pPr>
        <w:numPr>
          <w:ilvl w:val="0"/>
          <w:numId w:val="20"/>
        </w:numPr>
        <w:spacing w:after="0" w:line="240" w:lineRule="auto"/>
        <w:rPr>
          <w:color w:val="000000"/>
        </w:rPr>
      </w:pPr>
      <w:r w:rsidRPr="0018707F">
        <w:rPr>
          <w:color w:val="000000"/>
        </w:rPr>
        <w:t>Percentage of Males, Ages 40 Plus with a Digital Rectal Exam within Last Two Years, '08/09</w:t>
      </w:r>
    </w:p>
    <w:p w:rsidR="001670EC" w:rsidRPr="0018707F" w:rsidRDefault="001670EC" w:rsidP="00521C49">
      <w:pPr>
        <w:numPr>
          <w:ilvl w:val="0"/>
          <w:numId w:val="20"/>
        </w:numPr>
        <w:spacing w:after="0" w:line="240" w:lineRule="auto"/>
        <w:rPr>
          <w:color w:val="000000"/>
        </w:rPr>
      </w:pPr>
      <w:r w:rsidRPr="0018707F">
        <w:rPr>
          <w:color w:val="000000"/>
        </w:rPr>
        <w:t>Percentage of Males, Ages 40 Plus with a Prostate Antigen Test within Last Two Years, '08/09</w:t>
      </w:r>
    </w:p>
    <w:p w:rsidR="001670EC" w:rsidRPr="0018707F" w:rsidRDefault="001670EC" w:rsidP="00521C49">
      <w:pPr>
        <w:numPr>
          <w:ilvl w:val="0"/>
          <w:numId w:val="20"/>
        </w:numPr>
        <w:spacing w:after="0" w:line="240" w:lineRule="auto"/>
        <w:rPr>
          <w:color w:val="000000"/>
        </w:rPr>
      </w:pPr>
      <w:r w:rsidRPr="0018707F">
        <w:rPr>
          <w:color w:val="000000"/>
        </w:rPr>
        <w:t>Percentage of Medicaid Enrollees with at Least One Preventive Dental Visit within the Year, '08 - 10</w:t>
      </w:r>
    </w:p>
    <w:p w:rsidR="001670EC" w:rsidRPr="0018707F" w:rsidRDefault="001670EC" w:rsidP="00521C49">
      <w:pPr>
        <w:numPr>
          <w:ilvl w:val="0"/>
          <w:numId w:val="20"/>
        </w:numPr>
        <w:spacing w:after="0" w:line="240" w:lineRule="auto"/>
        <w:rPr>
          <w:color w:val="000000"/>
        </w:rPr>
      </w:pPr>
      <w:r w:rsidRPr="0018707F">
        <w:rPr>
          <w:color w:val="000000"/>
        </w:rPr>
        <w:t>Percentage of Age Adjusted Adults with a Dental Visit Within the Last 12 Months, '08/09</w:t>
      </w:r>
    </w:p>
    <w:p w:rsidR="001670EC" w:rsidRPr="0018707F" w:rsidRDefault="001670EC" w:rsidP="00521C49">
      <w:pPr>
        <w:pStyle w:val="ListParagraph"/>
        <w:numPr>
          <w:ilvl w:val="0"/>
          <w:numId w:val="20"/>
        </w:numPr>
        <w:spacing w:after="0" w:line="240" w:lineRule="auto"/>
        <w:contextualSpacing w:val="0"/>
      </w:pPr>
      <w:r w:rsidRPr="0018707F">
        <w:rPr>
          <w:color w:val="000000"/>
        </w:rPr>
        <w:t>Oral Cavity and Pharynx Cancer Cases per 100,000 Population, '07 - 09</w:t>
      </w:r>
    </w:p>
    <w:p w:rsidR="001670EC" w:rsidRDefault="001670EC" w:rsidP="00215EC2">
      <w:pPr>
        <w:pStyle w:val="BodyText"/>
        <w:rPr>
          <w:color w:val="4F81BD"/>
          <w:sz w:val="20"/>
        </w:rPr>
      </w:pPr>
    </w:p>
    <w:p w:rsidR="001670EC" w:rsidRPr="0018707F" w:rsidRDefault="001670EC" w:rsidP="00215EC2">
      <w:pPr>
        <w:pStyle w:val="BodyText"/>
        <w:rPr>
          <w:b/>
          <w:sz w:val="20"/>
        </w:rPr>
      </w:pPr>
      <w:r w:rsidRPr="0018707F">
        <w:rPr>
          <w:b/>
          <w:sz w:val="20"/>
        </w:rPr>
        <w:t>Regional Challenges</w:t>
      </w:r>
    </w:p>
    <w:p w:rsidR="001670EC" w:rsidRDefault="001670EC" w:rsidP="002736AE">
      <w:pPr>
        <w:pStyle w:val="ListParagraph"/>
        <w:spacing w:after="0" w:line="240" w:lineRule="auto"/>
        <w:ind w:left="1440"/>
        <w:contextualSpacing w:val="0"/>
      </w:pPr>
    </w:p>
    <w:tbl>
      <w:tblPr>
        <w:tblW w:w="9661" w:type="dxa"/>
        <w:tblCellMar>
          <w:left w:w="0" w:type="dxa"/>
          <w:right w:w="0" w:type="dxa"/>
        </w:tblCellMar>
        <w:tblLook w:val="00A0"/>
      </w:tblPr>
      <w:tblGrid>
        <w:gridCol w:w="5441"/>
        <w:gridCol w:w="1410"/>
        <w:gridCol w:w="1488"/>
        <w:gridCol w:w="1322"/>
      </w:tblGrid>
      <w:tr w:rsidR="001670EC" w:rsidRPr="00680D98" w:rsidTr="0001670C">
        <w:trPr>
          <w:trHeight w:val="481"/>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Indicator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Fulton 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Montgomery</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Benchmark </w:t>
            </w:r>
          </w:p>
        </w:tc>
      </w:tr>
      <w:tr w:rsidR="001670EC" w:rsidRPr="00680D98" w:rsidTr="0001670C">
        <w:trPr>
          <w:trHeight w:val="530"/>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cardiovascular deaths per 100,000 population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388.3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501.7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302.9 </w:t>
            </w:r>
          </w:p>
        </w:tc>
      </w:tr>
      <w:tr w:rsidR="001670EC" w:rsidRPr="00680D98" w:rsidTr="0001670C">
        <w:trPr>
          <w:trHeight w:val="53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diseases of the heart deaths per 100,000 population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317.0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425.7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243.6 </w:t>
            </w:r>
          </w:p>
        </w:tc>
      </w:tr>
      <w:tr w:rsidR="001670EC" w:rsidRPr="00680D98" w:rsidTr="0001670C">
        <w:trPr>
          <w:trHeight w:val="53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coronary heart disease deaths per 100,000 population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236.7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313.9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180.0 </w:t>
            </w:r>
          </w:p>
        </w:tc>
      </w:tr>
      <w:tr w:rsidR="001670EC" w:rsidRPr="00680D98" w:rsidTr="0001670C">
        <w:trPr>
          <w:trHeight w:val="53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congestive heart failure deaths per 100,000 population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22.3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34.6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19.8 </w:t>
            </w:r>
          </w:p>
        </w:tc>
      </w:tr>
      <w:tr w:rsidR="001670EC" w:rsidRPr="00680D98" w:rsidTr="0001670C">
        <w:trPr>
          <w:trHeight w:val="53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age-adjusted heart attack hospitalizations per 10,000 population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25.0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23.6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14.4 </w:t>
            </w:r>
          </w:p>
        </w:tc>
      </w:tr>
    </w:tbl>
    <w:p w:rsidR="001670EC" w:rsidRDefault="001670EC" w:rsidP="00F26D11">
      <w:pPr>
        <w:pStyle w:val="NoSpacing"/>
        <w:rPr>
          <w:b/>
          <w:u w:val="single"/>
        </w:rPr>
      </w:pPr>
    </w:p>
    <w:p w:rsidR="001670EC" w:rsidRDefault="001670EC" w:rsidP="00F26D11">
      <w:pPr>
        <w:pStyle w:val="NoSpacing"/>
        <w:rPr>
          <w:b/>
          <w:u w:val="single"/>
        </w:rPr>
      </w:pPr>
      <w:r w:rsidRPr="00BF5390">
        <w:rPr>
          <w:b/>
          <w:u w:val="single"/>
        </w:rPr>
        <w:t>Stakeholder Input:</w:t>
      </w:r>
    </w:p>
    <w:p w:rsidR="001670EC" w:rsidRPr="00BF5390" w:rsidRDefault="001670EC" w:rsidP="00F26D11">
      <w:pPr>
        <w:pStyle w:val="NoSpacing"/>
        <w:rPr>
          <w:b/>
          <w:u w:val="single"/>
        </w:rPr>
      </w:pPr>
    </w:p>
    <w:p w:rsidR="001670EC" w:rsidRDefault="001670EC" w:rsidP="00F26D11">
      <w:pPr>
        <w:pStyle w:val="NoSpacing"/>
      </w:pPr>
      <w:r>
        <w:t>Our stakeholders questioned the validity of childhood obesity rates as our school districts had low participation rates.  They also felt that some of the data, especially in relation to asthma may be affected by ICD-9 coding and a lag in reporting.  They also felt that the Mental Health clientele were disproportionately affected by smoking.</w:t>
      </w:r>
    </w:p>
    <w:p w:rsidR="001670EC" w:rsidRDefault="001670EC" w:rsidP="00F26D11">
      <w:pPr>
        <w:pStyle w:val="NoSpacing"/>
      </w:pPr>
    </w:p>
    <w:p w:rsidR="001670EC" w:rsidRPr="00BF5390" w:rsidRDefault="001670EC" w:rsidP="00F26D11">
      <w:pPr>
        <w:pStyle w:val="NoSpacing"/>
      </w:pPr>
      <w:r>
        <w:t>Some considerations regarding these areas were that h</w:t>
      </w:r>
      <w:r w:rsidRPr="00BF5390">
        <w:t xml:space="preserve">ealthy food </w:t>
      </w:r>
      <w:r>
        <w:t xml:space="preserve">is </w:t>
      </w:r>
      <w:r w:rsidRPr="00BF5390">
        <w:t>more costly</w:t>
      </w:r>
      <w:r>
        <w:t xml:space="preserve">, that individuals need access to places to play and exercise, and that parents may be uncomfortable letting their children play unsupervised.  They also felt that education and poverty largely influence smoking and nutrition.  </w:t>
      </w:r>
    </w:p>
    <w:p w:rsidR="001670EC" w:rsidRDefault="001670EC" w:rsidP="00F26D11">
      <w:pPr>
        <w:pStyle w:val="NoSpacing"/>
      </w:pPr>
    </w:p>
    <w:p w:rsidR="001670EC" w:rsidRPr="00BF5390" w:rsidRDefault="001670EC" w:rsidP="00F26D11">
      <w:pPr>
        <w:pStyle w:val="NoSpacing"/>
      </w:pPr>
      <w:r>
        <w:t>The stakeholders felt that there were many resources in the community, including quality healthcare providers and cancer screening services, and that provider’s work well together.  It is not known how well these resources are utilized, and increasing resources would be a desirable outcome.  They also felt that our system allows for the use of the ER for non-ER visits.</w:t>
      </w:r>
    </w:p>
    <w:p w:rsidR="001670EC" w:rsidRDefault="001670EC" w:rsidP="0018707F">
      <w:pPr>
        <w:pStyle w:val="ListParagraph"/>
        <w:spacing w:after="0" w:line="240" w:lineRule="auto"/>
        <w:ind w:left="1440"/>
        <w:contextualSpacing w:val="0"/>
      </w:pPr>
    </w:p>
    <w:p w:rsidR="001670EC" w:rsidRDefault="001670EC" w:rsidP="0018707F">
      <w:pPr>
        <w:pStyle w:val="ListParagraph"/>
        <w:spacing w:after="0" w:line="240" w:lineRule="auto"/>
        <w:ind w:left="1440"/>
        <w:contextualSpacing w:val="0"/>
      </w:pPr>
    </w:p>
    <w:p w:rsidR="001670EC" w:rsidRDefault="001670EC" w:rsidP="0018707F">
      <w:pPr>
        <w:pStyle w:val="ListParagraph"/>
        <w:spacing w:after="0" w:line="240" w:lineRule="auto"/>
        <w:ind w:left="0"/>
        <w:contextualSpacing w:val="0"/>
        <w:rPr>
          <w:b/>
          <w:sz w:val="28"/>
          <w:szCs w:val="28"/>
        </w:rPr>
      </w:pPr>
      <w:r w:rsidRPr="00966B06">
        <w:rPr>
          <w:b/>
          <w:sz w:val="28"/>
          <w:szCs w:val="28"/>
        </w:rPr>
        <w:t>Promote Healthy Women, Infants and Children</w:t>
      </w:r>
    </w:p>
    <w:p w:rsidR="001670EC" w:rsidRPr="00966B06" w:rsidRDefault="001670EC" w:rsidP="0018707F">
      <w:pPr>
        <w:pStyle w:val="ListParagraph"/>
        <w:spacing w:after="0" w:line="240" w:lineRule="auto"/>
        <w:ind w:left="0"/>
        <w:contextualSpacing w:val="0"/>
        <w:rPr>
          <w:b/>
          <w:sz w:val="28"/>
          <w:szCs w:val="28"/>
        </w:rPr>
      </w:pPr>
    </w:p>
    <w:p w:rsidR="001670EC" w:rsidRPr="0070477B" w:rsidRDefault="001670EC" w:rsidP="00737B20">
      <w:pPr>
        <w:spacing w:after="0" w:line="240" w:lineRule="auto"/>
        <w:rPr>
          <w:b/>
          <w:bCs/>
          <w:color w:val="000000"/>
        </w:rPr>
      </w:pPr>
      <w:r w:rsidRPr="0070477B">
        <w:rPr>
          <w:b/>
          <w:bCs/>
          <w:color w:val="000000"/>
        </w:rPr>
        <w:t>Focus Area: Maternal and Infant Health</w:t>
      </w:r>
    </w:p>
    <w:p w:rsidR="001670EC" w:rsidRPr="0070477B" w:rsidRDefault="001670EC" w:rsidP="0018707F">
      <w:pPr>
        <w:spacing w:after="0" w:line="240" w:lineRule="auto"/>
        <w:rPr>
          <w:b/>
          <w:bCs/>
          <w:color w:val="000000"/>
        </w:rPr>
      </w:pPr>
      <w:r w:rsidRPr="0070477B">
        <w:rPr>
          <w:b/>
          <w:bCs/>
          <w:color w:val="000000"/>
        </w:rPr>
        <w:t>Prevention Agenda Indicators</w:t>
      </w:r>
    </w:p>
    <w:p w:rsidR="001670EC" w:rsidRPr="0070477B" w:rsidRDefault="001670EC" w:rsidP="00521C49">
      <w:pPr>
        <w:numPr>
          <w:ilvl w:val="0"/>
          <w:numId w:val="21"/>
        </w:numPr>
        <w:spacing w:after="0" w:line="240" w:lineRule="auto"/>
        <w:rPr>
          <w:color w:val="000000"/>
        </w:rPr>
      </w:pPr>
      <w:r w:rsidRPr="0070477B">
        <w:rPr>
          <w:color w:val="000000"/>
        </w:rPr>
        <w:t>Percentage Preterm Births &lt; 37 Weeks of Total Births Where Gestation Period is Known, '08 - 10</w:t>
      </w:r>
    </w:p>
    <w:p w:rsidR="001670EC" w:rsidRPr="0070477B" w:rsidRDefault="001670EC" w:rsidP="00521C49">
      <w:pPr>
        <w:numPr>
          <w:ilvl w:val="0"/>
          <w:numId w:val="21"/>
        </w:numPr>
        <w:spacing w:after="0" w:line="240" w:lineRule="auto"/>
        <w:rPr>
          <w:color w:val="000000"/>
        </w:rPr>
      </w:pPr>
      <w:r w:rsidRPr="0070477B">
        <w:rPr>
          <w:color w:val="000000"/>
        </w:rPr>
        <w:t>Ratio of Infants Exclusively Breastfed in Delivery Hospital Hispanic/Latino to White, non-Hispanic, '08 - 10</w:t>
      </w:r>
    </w:p>
    <w:p w:rsidR="001670EC" w:rsidRPr="0070477B" w:rsidRDefault="001670EC" w:rsidP="00521C49">
      <w:pPr>
        <w:pStyle w:val="ListParagraph"/>
        <w:numPr>
          <w:ilvl w:val="0"/>
          <w:numId w:val="6"/>
        </w:numPr>
        <w:spacing w:after="0" w:line="240" w:lineRule="auto"/>
        <w:contextualSpacing w:val="0"/>
      </w:pPr>
      <w:r w:rsidRPr="0070477B">
        <w:rPr>
          <w:color w:val="000000"/>
        </w:rPr>
        <w:t>Ratio of Infants Exclusively Breastfed in Delivery Hospital Medicaid to Non-Medicaid Births, '08 – 10</w:t>
      </w:r>
    </w:p>
    <w:p w:rsidR="001670EC" w:rsidRPr="0070477B" w:rsidRDefault="001670EC" w:rsidP="0018707F">
      <w:pPr>
        <w:pStyle w:val="ListParagraph"/>
        <w:spacing w:after="0" w:line="240" w:lineRule="auto"/>
        <w:ind w:left="0"/>
        <w:contextualSpacing w:val="0"/>
      </w:pPr>
      <w:r w:rsidRPr="0070477B">
        <w:rPr>
          <w:b/>
          <w:bCs/>
          <w:color w:val="000000"/>
        </w:rPr>
        <w:t>Other Indicators</w:t>
      </w:r>
    </w:p>
    <w:p w:rsidR="001670EC" w:rsidRPr="0070477B" w:rsidRDefault="001670EC" w:rsidP="00521C49">
      <w:pPr>
        <w:numPr>
          <w:ilvl w:val="0"/>
          <w:numId w:val="6"/>
        </w:numPr>
        <w:spacing w:after="0" w:line="240" w:lineRule="auto"/>
        <w:rPr>
          <w:color w:val="000000"/>
        </w:rPr>
      </w:pPr>
      <w:r w:rsidRPr="0070477B">
        <w:rPr>
          <w:color w:val="000000"/>
        </w:rPr>
        <w:t>Percentage Preterm Births &lt; 32 weeks of Total Births Where Gestation Period is Known, '08 - 10</w:t>
      </w:r>
    </w:p>
    <w:p w:rsidR="001670EC" w:rsidRPr="0070477B" w:rsidRDefault="001670EC" w:rsidP="00521C49">
      <w:pPr>
        <w:numPr>
          <w:ilvl w:val="0"/>
          <w:numId w:val="6"/>
        </w:numPr>
        <w:spacing w:after="0" w:line="240" w:lineRule="auto"/>
        <w:rPr>
          <w:color w:val="000000"/>
        </w:rPr>
      </w:pPr>
      <w:r w:rsidRPr="0070477B">
        <w:rPr>
          <w:color w:val="000000"/>
        </w:rPr>
        <w:t>Percentage WIC Women Breastfed at Six months, '08 - 10</w:t>
      </w:r>
    </w:p>
    <w:p w:rsidR="001670EC" w:rsidRPr="0070477B" w:rsidRDefault="001670EC" w:rsidP="00521C49">
      <w:pPr>
        <w:pStyle w:val="ListParagraph"/>
        <w:numPr>
          <w:ilvl w:val="0"/>
          <w:numId w:val="6"/>
        </w:numPr>
        <w:spacing w:after="0" w:line="240" w:lineRule="auto"/>
        <w:contextualSpacing w:val="0"/>
      </w:pPr>
      <w:r w:rsidRPr="0070477B">
        <w:rPr>
          <w:color w:val="000000"/>
        </w:rPr>
        <w:t>Percentage Infants Receiving Any Breast Milk in Delivery Hospital, '08 - 10</w:t>
      </w:r>
    </w:p>
    <w:p w:rsidR="001670EC" w:rsidRPr="0070477B" w:rsidRDefault="001670EC" w:rsidP="0018707F">
      <w:pPr>
        <w:pStyle w:val="ListParagraph"/>
        <w:spacing w:after="0" w:line="240" w:lineRule="auto"/>
        <w:contextualSpacing w:val="0"/>
      </w:pPr>
    </w:p>
    <w:p w:rsidR="001670EC" w:rsidRPr="0070477B" w:rsidRDefault="001670EC" w:rsidP="00737B20">
      <w:pPr>
        <w:spacing w:after="0" w:line="240" w:lineRule="auto"/>
        <w:rPr>
          <w:b/>
          <w:bCs/>
          <w:color w:val="000000"/>
        </w:rPr>
      </w:pPr>
      <w:r w:rsidRPr="0070477B">
        <w:rPr>
          <w:b/>
          <w:bCs/>
          <w:color w:val="000000"/>
        </w:rPr>
        <w:t>Focus Area: Preconception and Reproductive Health</w:t>
      </w:r>
    </w:p>
    <w:p w:rsidR="001670EC" w:rsidRPr="0070477B" w:rsidRDefault="001670EC" w:rsidP="0018707F">
      <w:pPr>
        <w:spacing w:after="0" w:line="240" w:lineRule="auto"/>
        <w:rPr>
          <w:b/>
          <w:bCs/>
          <w:color w:val="000000"/>
        </w:rPr>
      </w:pPr>
      <w:r w:rsidRPr="0070477B">
        <w:rPr>
          <w:b/>
          <w:bCs/>
          <w:color w:val="000000"/>
        </w:rPr>
        <w:t>Prevention Agenda Indicators</w:t>
      </w:r>
    </w:p>
    <w:p w:rsidR="001670EC" w:rsidRPr="0070477B" w:rsidRDefault="001670EC" w:rsidP="00521C49">
      <w:pPr>
        <w:numPr>
          <w:ilvl w:val="0"/>
          <w:numId w:val="22"/>
        </w:numPr>
        <w:spacing w:after="0" w:line="240" w:lineRule="auto"/>
        <w:rPr>
          <w:color w:val="000000"/>
        </w:rPr>
      </w:pPr>
      <w:r w:rsidRPr="0070477B">
        <w:rPr>
          <w:color w:val="000000"/>
        </w:rPr>
        <w:t>Percent of Births within 24 months of Previous Pregnancy, '08 - 10</w:t>
      </w:r>
    </w:p>
    <w:p w:rsidR="001670EC" w:rsidRPr="0070477B" w:rsidRDefault="001670EC" w:rsidP="00521C49">
      <w:pPr>
        <w:numPr>
          <w:ilvl w:val="0"/>
          <w:numId w:val="22"/>
        </w:numPr>
        <w:spacing w:after="0" w:line="240" w:lineRule="auto"/>
        <w:rPr>
          <w:color w:val="000000"/>
        </w:rPr>
      </w:pPr>
      <w:r w:rsidRPr="0070477B">
        <w:rPr>
          <w:color w:val="000000"/>
        </w:rPr>
        <w:t>Percent of Unintended Births to Total Births, 2011</w:t>
      </w:r>
    </w:p>
    <w:p w:rsidR="001670EC" w:rsidRPr="0070477B" w:rsidRDefault="001670EC" w:rsidP="00521C49">
      <w:pPr>
        <w:numPr>
          <w:ilvl w:val="0"/>
          <w:numId w:val="22"/>
        </w:numPr>
        <w:spacing w:after="0" w:line="240" w:lineRule="auto"/>
        <w:rPr>
          <w:color w:val="000000"/>
        </w:rPr>
      </w:pPr>
      <w:r w:rsidRPr="0070477B">
        <w:rPr>
          <w:color w:val="000000"/>
        </w:rPr>
        <w:t>Ratio of Unintended Births Medicaid to Non-Medicaid, '08 - 10</w:t>
      </w:r>
    </w:p>
    <w:p w:rsidR="001670EC" w:rsidRPr="0070477B" w:rsidRDefault="001670EC" w:rsidP="00521C49">
      <w:pPr>
        <w:pStyle w:val="ListParagraph"/>
        <w:numPr>
          <w:ilvl w:val="0"/>
          <w:numId w:val="22"/>
        </w:numPr>
        <w:spacing w:after="0" w:line="240" w:lineRule="auto"/>
        <w:contextualSpacing w:val="0"/>
      </w:pPr>
      <w:r w:rsidRPr="0070477B">
        <w:rPr>
          <w:color w:val="000000"/>
        </w:rPr>
        <w:t>Percentage of Women Ages 18- 64 with Health Insurance, '08/09</w:t>
      </w:r>
    </w:p>
    <w:p w:rsidR="001670EC" w:rsidRPr="00B2671E" w:rsidRDefault="001670EC" w:rsidP="00DE21D2">
      <w:pPr>
        <w:rPr>
          <w:rFonts w:cs="Tahoma"/>
        </w:rPr>
      </w:pPr>
    </w:p>
    <w:p w:rsidR="001670EC" w:rsidRPr="00E032D2" w:rsidRDefault="001670EC" w:rsidP="00E032D2">
      <w:pPr>
        <w:rPr>
          <w:rFonts w:cs="Tahoma"/>
        </w:rPr>
      </w:pPr>
      <w:r w:rsidRPr="00E032D2">
        <w:rPr>
          <w:rFonts w:cs="Tahoma"/>
        </w:rPr>
        <w:t xml:space="preserve">As the pregnancy rate for younger teens appears to be at the NYS average, the high rate of births among teens 18-19 is troubling.   The question remains whether the high pregnancy rate among teens is as an unintended consequence of high-risk behavior or a life choice.  </w:t>
      </w:r>
      <w:r w:rsidRPr="00E032D2">
        <w:rPr>
          <w:rFonts w:cs="Tahoma"/>
          <w:bCs/>
        </w:rPr>
        <w:t>The percentage of children born to single parents is steadily rising and exceeds the upstate average. Access to affordable care does not appear to be an issue in the high rate of teen pregnancies.</w:t>
      </w:r>
    </w:p>
    <w:p w:rsidR="001670EC" w:rsidRPr="0018707F" w:rsidRDefault="001670EC" w:rsidP="0018707F">
      <w:pPr>
        <w:spacing w:after="0" w:line="240" w:lineRule="auto"/>
        <w:rPr>
          <w:b/>
          <w:bCs/>
          <w:color w:val="000000"/>
        </w:rPr>
      </w:pPr>
      <w:r w:rsidRPr="0018707F">
        <w:rPr>
          <w:b/>
          <w:bCs/>
          <w:color w:val="000000"/>
        </w:rPr>
        <w:t>Focus Area: Child Health</w:t>
      </w:r>
    </w:p>
    <w:p w:rsidR="001670EC" w:rsidRPr="0018707F" w:rsidRDefault="001670EC" w:rsidP="0018707F">
      <w:pPr>
        <w:spacing w:after="0" w:line="240" w:lineRule="auto"/>
        <w:rPr>
          <w:b/>
          <w:bCs/>
          <w:color w:val="000000"/>
        </w:rPr>
      </w:pPr>
      <w:r w:rsidRPr="0018707F">
        <w:rPr>
          <w:b/>
          <w:bCs/>
          <w:color w:val="000000"/>
        </w:rPr>
        <w:t>Prevention Agenda Indicators</w:t>
      </w:r>
    </w:p>
    <w:p w:rsidR="001670EC" w:rsidRPr="0018707F" w:rsidRDefault="001670EC" w:rsidP="00521C49">
      <w:pPr>
        <w:numPr>
          <w:ilvl w:val="0"/>
          <w:numId w:val="24"/>
        </w:numPr>
        <w:spacing w:after="0" w:line="240" w:lineRule="auto"/>
        <w:rPr>
          <w:color w:val="000000"/>
        </w:rPr>
      </w:pPr>
      <w:r w:rsidRPr="0018707F">
        <w:rPr>
          <w:color w:val="000000"/>
        </w:rPr>
        <w:t xml:space="preserve">Percentage of Children Ages 12 -21 Years with Government Insurance with Recommended Well Visits, 2011 </w:t>
      </w:r>
    </w:p>
    <w:p w:rsidR="001670EC" w:rsidRPr="0018707F" w:rsidRDefault="001670EC" w:rsidP="00521C49">
      <w:pPr>
        <w:pStyle w:val="ListParagraph"/>
        <w:numPr>
          <w:ilvl w:val="0"/>
          <w:numId w:val="24"/>
        </w:numPr>
        <w:spacing w:after="0" w:line="240" w:lineRule="auto"/>
        <w:contextualSpacing w:val="0"/>
      </w:pPr>
      <w:r w:rsidRPr="0018707F">
        <w:rPr>
          <w:color w:val="000000"/>
        </w:rPr>
        <w:t>Percentage of Children Ages 0 -19 with Health Insurance, 2010</w:t>
      </w:r>
    </w:p>
    <w:p w:rsidR="001670EC" w:rsidRPr="0018707F" w:rsidRDefault="001670EC" w:rsidP="00FB663A">
      <w:pPr>
        <w:pStyle w:val="ListParagraph"/>
        <w:spacing w:after="0" w:line="240" w:lineRule="auto"/>
        <w:ind w:left="0"/>
        <w:contextualSpacing w:val="0"/>
        <w:rPr>
          <w:b/>
          <w:color w:val="000000"/>
        </w:rPr>
      </w:pPr>
      <w:r w:rsidRPr="0018707F">
        <w:rPr>
          <w:b/>
          <w:color w:val="000000"/>
        </w:rPr>
        <w:t>Other Indicators</w:t>
      </w:r>
    </w:p>
    <w:p w:rsidR="001670EC" w:rsidRPr="0018707F" w:rsidRDefault="001670EC" w:rsidP="00521C49">
      <w:pPr>
        <w:numPr>
          <w:ilvl w:val="0"/>
          <w:numId w:val="23"/>
        </w:numPr>
        <w:spacing w:after="0" w:line="240" w:lineRule="auto"/>
        <w:rPr>
          <w:color w:val="000000"/>
        </w:rPr>
      </w:pPr>
      <w:r w:rsidRPr="0018707F">
        <w:rPr>
          <w:color w:val="000000"/>
        </w:rPr>
        <w:t>Rate of Asthma Hospitalizations Children Ages 0 - 4 per 10,000 Population Children Ages 0 - 4, '08 - 10</w:t>
      </w:r>
    </w:p>
    <w:p w:rsidR="001670EC" w:rsidRPr="0018707F" w:rsidRDefault="001670EC" w:rsidP="00521C49">
      <w:pPr>
        <w:numPr>
          <w:ilvl w:val="0"/>
          <w:numId w:val="23"/>
        </w:numPr>
        <w:spacing w:after="0" w:line="240" w:lineRule="auto"/>
        <w:rPr>
          <w:color w:val="000000"/>
        </w:rPr>
      </w:pPr>
      <w:r w:rsidRPr="0018707F">
        <w:rPr>
          <w:color w:val="000000"/>
        </w:rPr>
        <w:t>Rate of Asthma Hospitalizations Children Ages 5 - 14 per 10,000 Population Children Ages 5 - 14, '08 - 10</w:t>
      </w:r>
    </w:p>
    <w:p w:rsidR="001670EC" w:rsidRPr="0018707F" w:rsidRDefault="001670EC" w:rsidP="00521C49">
      <w:pPr>
        <w:numPr>
          <w:ilvl w:val="0"/>
          <w:numId w:val="23"/>
        </w:numPr>
        <w:spacing w:after="0" w:line="240" w:lineRule="auto"/>
        <w:rPr>
          <w:color w:val="000000"/>
        </w:rPr>
      </w:pPr>
      <w:r w:rsidRPr="0018707F">
        <w:rPr>
          <w:color w:val="000000"/>
        </w:rPr>
        <w:t>Rate of Asthma Hospitalizations Children Ages 0 - 17 per 10,000 Population Children Ages 0 - 17, '8 - 10</w:t>
      </w:r>
    </w:p>
    <w:p w:rsidR="001670EC" w:rsidRPr="0018707F" w:rsidRDefault="001670EC" w:rsidP="00521C49">
      <w:pPr>
        <w:numPr>
          <w:ilvl w:val="0"/>
          <w:numId w:val="23"/>
        </w:numPr>
        <w:spacing w:after="0" w:line="240" w:lineRule="auto"/>
        <w:rPr>
          <w:color w:val="000000"/>
        </w:rPr>
      </w:pPr>
      <w:r w:rsidRPr="0018707F">
        <w:rPr>
          <w:color w:val="000000"/>
        </w:rPr>
        <w:t>Rate of Gastroenteritis Hospitalizations Children Ages 0 - 4 per 10,000 Population Children Ages 0 - 4, '08 - 10</w:t>
      </w:r>
    </w:p>
    <w:p w:rsidR="001670EC" w:rsidRPr="0018707F" w:rsidRDefault="001670EC" w:rsidP="00521C49">
      <w:pPr>
        <w:numPr>
          <w:ilvl w:val="0"/>
          <w:numId w:val="23"/>
        </w:numPr>
        <w:spacing w:after="0" w:line="240" w:lineRule="auto"/>
        <w:rPr>
          <w:color w:val="000000"/>
        </w:rPr>
      </w:pPr>
      <w:r w:rsidRPr="0018707F">
        <w:rPr>
          <w:color w:val="000000"/>
        </w:rPr>
        <w:t>Rate of Pneumonia Hospitalizations Children Ages 0 - 4 per 10,000 Population Children Ages 0 - 4, '08 - 10</w:t>
      </w:r>
    </w:p>
    <w:p w:rsidR="001670EC" w:rsidRPr="0018707F" w:rsidRDefault="001670EC" w:rsidP="00521C49">
      <w:pPr>
        <w:numPr>
          <w:ilvl w:val="0"/>
          <w:numId w:val="23"/>
        </w:numPr>
        <w:spacing w:after="0" w:line="240" w:lineRule="auto"/>
        <w:rPr>
          <w:color w:val="000000"/>
        </w:rPr>
      </w:pPr>
      <w:r w:rsidRPr="0018707F">
        <w:rPr>
          <w:color w:val="000000"/>
        </w:rPr>
        <w:t>Rate of ED Asthma Visits Children Ages 0 - 4 per 10,000 Population Children Ages 0 - 4, '08 - 10</w:t>
      </w:r>
    </w:p>
    <w:p w:rsidR="001670EC" w:rsidRPr="0018707F" w:rsidRDefault="001670EC" w:rsidP="00521C49">
      <w:pPr>
        <w:numPr>
          <w:ilvl w:val="0"/>
          <w:numId w:val="23"/>
        </w:numPr>
        <w:spacing w:after="0" w:line="240" w:lineRule="auto"/>
        <w:rPr>
          <w:color w:val="000000"/>
        </w:rPr>
      </w:pPr>
      <w:r w:rsidRPr="0018707F">
        <w:rPr>
          <w:color w:val="000000"/>
        </w:rPr>
        <w:t>Percentage of Children Screened for Lead by Age 18 months</w:t>
      </w:r>
    </w:p>
    <w:p w:rsidR="001670EC" w:rsidRPr="0018707F" w:rsidRDefault="001670EC" w:rsidP="00521C49">
      <w:pPr>
        <w:numPr>
          <w:ilvl w:val="0"/>
          <w:numId w:val="23"/>
        </w:numPr>
        <w:spacing w:after="0" w:line="240" w:lineRule="auto"/>
        <w:rPr>
          <w:color w:val="000000"/>
        </w:rPr>
      </w:pPr>
      <w:r w:rsidRPr="0018707F">
        <w:rPr>
          <w:color w:val="000000"/>
        </w:rPr>
        <w:t>Percentage of Children Screened for Lead by Age 36 months (at least two screenings)</w:t>
      </w:r>
    </w:p>
    <w:p w:rsidR="001670EC" w:rsidRPr="0018707F" w:rsidRDefault="001670EC" w:rsidP="00521C49">
      <w:pPr>
        <w:numPr>
          <w:ilvl w:val="0"/>
          <w:numId w:val="23"/>
        </w:numPr>
        <w:spacing w:after="0" w:line="240" w:lineRule="auto"/>
        <w:rPr>
          <w:color w:val="000000"/>
        </w:rPr>
      </w:pPr>
      <w:r w:rsidRPr="0018707F">
        <w:rPr>
          <w:color w:val="000000"/>
        </w:rPr>
        <w:lastRenderedPageBreak/>
        <w:t>Rate of Children Ages &lt; 6 with Confirmed Blood Lead Levels &gt;= 10 mg/dl Cases Per 1,000 Children Tested, '08 - 10</w:t>
      </w:r>
    </w:p>
    <w:p w:rsidR="001670EC" w:rsidRPr="0018707F" w:rsidRDefault="001670EC" w:rsidP="00521C49">
      <w:pPr>
        <w:numPr>
          <w:ilvl w:val="0"/>
          <w:numId w:val="23"/>
        </w:numPr>
        <w:spacing w:after="0" w:line="240" w:lineRule="auto"/>
        <w:rPr>
          <w:color w:val="000000"/>
        </w:rPr>
      </w:pPr>
      <w:r w:rsidRPr="0018707F">
        <w:rPr>
          <w:color w:val="000000"/>
        </w:rPr>
        <w:t>Rate of Unintentional Injury Hospitalizations for Children Under Age 10 per 10,000 Population Children Under Age 10, '08 - 10</w:t>
      </w:r>
    </w:p>
    <w:p w:rsidR="001670EC" w:rsidRPr="0018707F" w:rsidRDefault="001670EC" w:rsidP="00521C49">
      <w:pPr>
        <w:numPr>
          <w:ilvl w:val="0"/>
          <w:numId w:val="23"/>
        </w:numPr>
        <w:spacing w:after="0" w:line="240" w:lineRule="auto"/>
        <w:rPr>
          <w:color w:val="000000"/>
        </w:rPr>
      </w:pPr>
      <w:r w:rsidRPr="0018707F">
        <w:rPr>
          <w:color w:val="000000"/>
        </w:rPr>
        <w:t>Rate of Unintentional Injury Hospitalizations for Children Ages 10 - 14 per 10,000 Population Children Ages 10 - 14, '08 - 10</w:t>
      </w:r>
    </w:p>
    <w:p w:rsidR="001670EC" w:rsidRPr="0018707F" w:rsidRDefault="001670EC" w:rsidP="00521C49">
      <w:pPr>
        <w:numPr>
          <w:ilvl w:val="0"/>
          <w:numId w:val="23"/>
        </w:numPr>
        <w:spacing w:after="0" w:line="240" w:lineRule="auto"/>
        <w:rPr>
          <w:color w:val="000000"/>
        </w:rPr>
      </w:pPr>
      <w:r w:rsidRPr="0018707F">
        <w:rPr>
          <w:color w:val="000000"/>
        </w:rPr>
        <w:t>Rate of Unintentional Injury Hospitalizations for Children/Young Adults Ages 15 - 24 per 10,000 Ages 15 - 24, '08 - 10</w:t>
      </w:r>
    </w:p>
    <w:p w:rsidR="001670EC" w:rsidRPr="0018707F" w:rsidRDefault="001670EC" w:rsidP="00521C49">
      <w:pPr>
        <w:numPr>
          <w:ilvl w:val="0"/>
          <w:numId w:val="23"/>
        </w:numPr>
        <w:spacing w:after="0" w:line="240" w:lineRule="auto"/>
        <w:rPr>
          <w:color w:val="000000"/>
        </w:rPr>
      </w:pPr>
      <w:r w:rsidRPr="0018707F">
        <w:rPr>
          <w:color w:val="000000"/>
        </w:rPr>
        <w:t>Rate of Asthma ED Visits for Children Ages 0 - 17 per 10,000 Population Children Ages 0 - 17, '07 - 09</w:t>
      </w:r>
    </w:p>
    <w:p w:rsidR="001670EC" w:rsidRPr="00CE34D9" w:rsidRDefault="001670EC" w:rsidP="00CE34D9">
      <w:pPr>
        <w:pStyle w:val="ListParagraph"/>
        <w:numPr>
          <w:ilvl w:val="0"/>
          <w:numId w:val="23"/>
        </w:numPr>
        <w:spacing w:after="0" w:line="240" w:lineRule="auto"/>
        <w:contextualSpacing w:val="0"/>
        <w:rPr>
          <w:b/>
        </w:rPr>
      </w:pPr>
      <w:r w:rsidRPr="0018707F">
        <w:rPr>
          <w:color w:val="000000"/>
        </w:rPr>
        <w:t xml:space="preserve">Percentage of Medicaid Enrollees Ages 2 - 20 with at Least One Dental Visit, 08 </w:t>
      </w:r>
      <w:r>
        <w:rPr>
          <w:color w:val="000000"/>
        </w:rPr>
        <w:t>–</w:t>
      </w:r>
      <w:r w:rsidRPr="0018707F">
        <w:rPr>
          <w:color w:val="000000"/>
        </w:rPr>
        <w:t xml:space="preserve"> 10</w:t>
      </w:r>
    </w:p>
    <w:p w:rsidR="001670EC" w:rsidRDefault="001670EC" w:rsidP="0018707F">
      <w:pPr>
        <w:pStyle w:val="ListParagraph"/>
        <w:spacing w:after="0" w:line="240" w:lineRule="auto"/>
        <w:ind w:left="0"/>
        <w:contextualSpacing w:val="0"/>
        <w:rPr>
          <w:b/>
          <w:color w:val="000000"/>
        </w:rPr>
      </w:pPr>
    </w:p>
    <w:p w:rsidR="001670EC" w:rsidRPr="0018707F" w:rsidRDefault="001670EC" w:rsidP="0018707F">
      <w:pPr>
        <w:pStyle w:val="ListParagraph"/>
        <w:spacing w:after="0" w:line="240" w:lineRule="auto"/>
        <w:ind w:left="0"/>
        <w:contextualSpacing w:val="0"/>
        <w:rPr>
          <w:b/>
        </w:rPr>
      </w:pPr>
      <w:r w:rsidRPr="0018707F">
        <w:rPr>
          <w:b/>
          <w:color w:val="000000"/>
        </w:rPr>
        <w:t>Regional Challenges</w:t>
      </w:r>
    </w:p>
    <w:p w:rsidR="001670EC" w:rsidRDefault="001670EC" w:rsidP="00737B20">
      <w:pPr>
        <w:pStyle w:val="ListParagraph"/>
        <w:spacing w:after="0" w:line="240" w:lineRule="auto"/>
        <w:ind w:left="1440"/>
        <w:contextualSpacing w:val="0"/>
      </w:pPr>
    </w:p>
    <w:tbl>
      <w:tblPr>
        <w:tblW w:w="9599" w:type="dxa"/>
        <w:tblCellMar>
          <w:left w:w="0" w:type="dxa"/>
          <w:right w:w="0" w:type="dxa"/>
        </w:tblCellMar>
        <w:tblLook w:val="00A0"/>
      </w:tblPr>
      <w:tblGrid>
        <w:gridCol w:w="5415"/>
        <w:gridCol w:w="1374"/>
        <w:gridCol w:w="1488"/>
        <w:gridCol w:w="1322"/>
      </w:tblGrid>
      <w:tr w:rsidR="001670EC" w:rsidRPr="00680D98" w:rsidTr="0001670C">
        <w:trPr>
          <w:trHeight w:val="361"/>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Indicator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Fulton 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Montgomery</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Benchmark </w:t>
            </w:r>
          </w:p>
        </w:tc>
      </w:tr>
      <w:tr w:rsidR="001670EC" w:rsidRPr="00680D98" w:rsidTr="0001670C">
        <w:trPr>
          <w:trHeight w:val="361"/>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births for teenagers, ages 15 – 17, per 1,000 females ages 15 - 17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10.9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14.6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10.0 </w:t>
            </w:r>
          </w:p>
        </w:tc>
      </w:tr>
      <w:tr w:rsidR="001670EC" w:rsidRPr="00680D98" w:rsidTr="0001670C">
        <w:trPr>
          <w:trHeight w:val="516"/>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births for teenagers, ages 18 and 19 per 1,000 females, </w:t>
            </w:r>
          </w:p>
          <w:p w:rsidR="001670EC" w:rsidRPr="00F878EE" w:rsidRDefault="001670EC" w:rsidP="00C434C7">
            <w:pPr>
              <w:spacing w:after="0" w:line="240" w:lineRule="auto"/>
              <w:rPr>
                <w:rFonts w:ascii="Arial" w:hAnsi="Arial" w:cs="Arial"/>
              </w:rPr>
            </w:pPr>
            <w:r w:rsidRPr="00F878EE">
              <w:rPr>
                <w:rFonts w:cs="Arial"/>
                <w:color w:val="000000"/>
                <w:kern w:val="24"/>
              </w:rPr>
              <w:t xml:space="preserve">ages 18-19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71.3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89.6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35.4 </w:t>
            </w:r>
          </w:p>
        </w:tc>
      </w:tr>
      <w:tr w:rsidR="001670EC" w:rsidRPr="00680D98" w:rsidTr="0001670C">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Percentage of WIC women with pre-pregnancy obesity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31.2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30.5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23.4 </w:t>
            </w:r>
          </w:p>
        </w:tc>
      </w:tr>
      <w:tr w:rsidR="001670EC" w:rsidRPr="00680D98" w:rsidTr="0001670C">
        <w:trPr>
          <w:trHeight w:val="516"/>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Percentage of WIC women with gestational weight gain greater than the ideal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48.6%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50.1%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41.8% </w:t>
            </w:r>
          </w:p>
        </w:tc>
      </w:tr>
      <w:tr w:rsidR="001670EC" w:rsidRPr="00680D98" w:rsidTr="0001670C">
        <w:trPr>
          <w:trHeight w:val="36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Percentage of WIC women with gestational hypertension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9.9%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12.3%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7.2% </w:t>
            </w:r>
          </w:p>
        </w:tc>
      </w:tr>
    </w:tbl>
    <w:p w:rsidR="001670EC" w:rsidRPr="00434D1E" w:rsidRDefault="001670EC" w:rsidP="00F26D11">
      <w:pPr>
        <w:pStyle w:val="NoSpacing"/>
        <w:rPr>
          <w:b/>
          <w:u w:val="single"/>
        </w:rPr>
      </w:pPr>
      <w:r w:rsidRPr="00434D1E">
        <w:rPr>
          <w:b/>
          <w:u w:val="single"/>
        </w:rPr>
        <w:t>Stakeholder Input</w:t>
      </w:r>
    </w:p>
    <w:p w:rsidR="001670EC" w:rsidRPr="004B1BCE" w:rsidRDefault="001670EC" w:rsidP="00F26D11">
      <w:pPr>
        <w:pStyle w:val="NoSpacing"/>
      </w:pPr>
      <w:r w:rsidRPr="004B1BCE">
        <w:t>This high rate of asthma is a concern, especially among the young.  Smoking during pregnancy and exposure to second hand smoke is a contributing factor in our community.  The need for a local asthma coalition was expressed.  There are good resources in the community that are addressing smoking cessation.  Nathan Littauer Hospital and Project Action/Reality Check were recognized as having successful programs.</w:t>
      </w:r>
    </w:p>
    <w:p w:rsidR="001670EC" w:rsidRPr="004B1BCE" w:rsidRDefault="001670EC" w:rsidP="00F26D11">
      <w:pPr>
        <w:pStyle w:val="NoSpacing"/>
      </w:pPr>
    </w:p>
    <w:p w:rsidR="001670EC" w:rsidRPr="004B1BCE" w:rsidRDefault="001670EC" w:rsidP="00F26D11">
      <w:pPr>
        <w:pStyle w:val="NoSpacing"/>
      </w:pPr>
      <w:r w:rsidRPr="004B1BCE">
        <w:t>The lower rate of young (under 18) teen pregnancies was identified as a p</w:t>
      </w:r>
      <w:r>
        <w:t>ositive.  The programs in place</w:t>
      </w:r>
      <w:r w:rsidRPr="004B1BCE">
        <w:t xml:space="preserve"> </w:t>
      </w:r>
      <w:r>
        <w:t>through</w:t>
      </w:r>
      <w:r w:rsidRPr="004B1BCE">
        <w:t xml:space="preserve"> Public Health and Planned Parenthood were identified as having a positive impact on th</w:t>
      </w:r>
      <w:r>
        <w:t>is health issue</w:t>
      </w:r>
      <w:r w:rsidRPr="004B1BCE">
        <w:t>.</w:t>
      </w:r>
    </w:p>
    <w:p w:rsidR="001670EC" w:rsidRPr="004B1BCE" w:rsidRDefault="001670EC" w:rsidP="00F26D11">
      <w:pPr>
        <w:pStyle w:val="NoSpacing"/>
        <w:rPr>
          <w:u w:val="single"/>
        </w:rPr>
      </w:pPr>
    </w:p>
    <w:p w:rsidR="001670EC" w:rsidRPr="004B1BCE" w:rsidRDefault="001670EC" w:rsidP="00F26D11">
      <w:pPr>
        <w:pStyle w:val="NoSpacing"/>
      </w:pPr>
      <w:r w:rsidRPr="004B1BCE">
        <w:t>Lead poisoning is still a problem for our community</w:t>
      </w:r>
      <w:r>
        <w:t>.  A</w:t>
      </w:r>
      <w:r w:rsidRPr="004B1BCE">
        <w:t xml:space="preserve">reas that could be </w:t>
      </w:r>
      <w:r>
        <w:t>enhanced</w:t>
      </w:r>
      <w:r w:rsidRPr="004B1BCE">
        <w:t xml:space="preserve"> were identified as improved connection with the housing authority, encouraging parental follow-through, and looking at local ordinances</w:t>
      </w:r>
      <w:r>
        <w:t xml:space="preserve"> and</w:t>
      </w:r>
      <w:r w:rsidRPr="004B1BCE">
        <w:t xml:space="preserve"> code regulations </w:t>
      </w:r>
      <w:r>
        <w:t>to</w:t>
      </w:r>
      <w:r w:rsidRPr="004B1BCE">
        <w:t xml:space="preserve"> chang</w:t>
      </w:r>
      <w:r>
        <w:t>e</w:t>
      </w:r>
      <w:r w:rsidRPr="004B1BCE">
        <w:t xml:space="preserve"> polices in regards to housing.</w:t>
      </w:r>
    </w:p>
    <w:p w:rsidR="001670EC" w:rsidRPr="004B1BCE" w:rsidRDefault="001670EC" w:rsidP="00F26D11">
      <w:pPr>
        <w:pStyle w:val="NoSpacing"/>
      </w:pPr>
    </w:p>
    <w:p w:rsidR="001670EC" w:rsidRPr="004B1BCE" w:rsidRDefault="001670EC" w:rsidP="00F26D11">
      <w:pPr>
        <w:pStyle w:val="NoSpacing"/>
      </w:pPr>
      <w:r w:rsidRPr="004B1BCE">
        <w:t>The challenges identified were funding and lack of staff.  Improvements in delivering education could be attained through better use of social media, electronic messaging, and promoting other electronic information sources, such as 211.</w:t>
      </w:r>
    </w:p>
    <w:p w:rsidR="001670EC" w:rsidRPr="004B1BCE" w:rsidRDefault="001670EC" w:rsidP="00F26D11">
      <w:pPr>
        <w:pStyle w:val="NoSpacing"/>
      </w:pPr>
    </w:p>
    <w:p w:rsidR="001670EC" w:rsidRPr="00B97B8E" w:rsidRDefault="001670EC" w:rsidP="00B97B8E">
      <w:pPr>
        <w:pStyle w:val="NoSpacing"/>
      </w:pPr>
      <w:r w:rsidRPr="004B1BCE">
        <w:t>The priorities identified were economic and improving access to education and prevention strategies.</w:t>
      </w:r>
    </w:p>
    <w:p w:rsidR="001670EC" w:rsidRDefault="001670EC" w:rsidP="00C36B27">
      <w:pPr>
        <w:pStyle w:val="ListParagraph"/>
        <w:spacing w:after="0" w:line="240" w:lineRule="auto"/>
        <w:ind w:left="0"/>
        <w:contextualSpacing w:val="0"/>
        <w:rPr>
          <w:b/>
          <w:sz w:val="28"/>
          <w:szCs w:val="28"/>
        </w:rPr>
      </w:pPr>
      <w:r w:rsidRPr="00C36B27">
        <w:rPr>
          <w:b/>
          <w:sz w:val="28"/>
          <w:szCs w:val="28"/>
        </w:rPr>
        <w:lastRenderedPageBreak/>
        <w:t>Prevent HIV/STDs, Vaccine Preventable Diseases &amp; Healthcare-Associated Infections</w:t>
      </w:r>
    </w:p>
    <w:p w:rsidR="001670EC" w:rsidRPr="00C36B27" w:rsidRDefault="001670EC" w:rsidP="00C36B27">
      <w:pPr>
        <w:pStyle w:val="ListParagraph"/>
        <w:spacing w:after="0" w:line="240" w:lineRule="auto"/>
        <w:ind w:left="0"/>
        <w:contextualSpacing w:val="0"/>
        <w:rPr>
          <w:b/>
        </w:rPr>
      </w:pPr>
      <w:r w:rsidRPr="00C36B27">
        <w:rPr>
          <w:b/>
        </w:rPr>
        <w:t>Focus Area: Prevent HIV and STD’s</w:t>
      </w:r>
    </w:p>
    <w:p w:rsidR="001670EC" w:rsidRDefault="001670EC" w:rsidP="00521C49">
      <w:pPr>
        <w:pStyle w:val="ListParagraph"/>
        <w:numPr>
          <w:ilvl w:val="1"/>
          <w:numId w:val="6"/>
        </w:numPr>
        <w:spacing w:after="0" w:line="240" w:lineRule="auto"/>
        <w:contextualSpacing w:val="0"/>
      </w:pPr>
      <w:r>
        <w:t>Human Immunodeficiency Virus – better than the benchmark</w:t>
      </w:r>
    </w:p>
    <w:p w:rsidR="001670EC" w:rsidRDefault="001670EC" w:rsidP="00521C49">
      <w:pPr>
        <w:pStyle w:val="ListParagraph"/>
        <w:numPr>
          <w:ilvl w:val="1"/>
          <w:numId w:val="6"/>
        </w:numPr>
        <w:spacing w:after="0" w:line="240" w:lineRule="auto"/>
        <w:contextualSpacing w:val="0"/>
      </w:pPr>
      <w:r>
        <w:t>Sexually Transmitted Diseases – better than the benchmark</w:t>
      </w:r>
    </w:p>
    <w:p w:rsidR="001670EC" w:rsidRPr="00C36B27" w:rsidRDefault="001670EC" w:rsidP="00C36B27">
      <w:pPr>
        <w:pStyle w:val="ListParagraph"/>
        <w:spacing w:after="0" w:line="240" w:lineRule="auto"/>
        <w:ind w:left="0"/>
        <w:contextualSpacing w:val="0"/>
        <w:rPr>
          <w:b/>
        </w:rPr>
      </w:pPr>
      <w:r w:rsidRPr="00C36B27">
        <w:rPr>
          <w:b/>
        </w:rPr>
        <w:t>Other indicators</w:t>
      </w:r>
    </w:p>
    <w:p w:rsidR="001670EC" w:rsidRPr="003C4F9E" w:rsidRDefault="001670EC" w:rsidP="00521C49">
      <w:pPr>
        <w:numPr>
          <w:ilvl w:val="0"/>
          <w:numId w:val="6"/>
        </w:numPr>
        <w:spacing w:after="0" w:line="240" w:lineRule="auto"/>
        <w:rPr>
          <w:color w:val="000000"/>
        </w:rPr>
      </w:pPr>
      <w:r w:rsidRPr="003C4F9E">
        <w:rPr>
          <w:color w:val="000000"/>
        </w:rPr>
        <w:t>Rate of Chlamydia Cases Females Ages 15- 19 per 100,000 Female Population Ages 15 - 19, '08 - 10</w:t>
      </w:r>
    </w:p>
    <w:p w:rsidR="001670EC" w:rsidRDefault="001670EC" w:rsidP="004D7F7C">
      <w:pPr>
        <w:pStyle w:val="ListParagraph"/>
        <w:spacing w:after="0" w:line="240" w:lineRule="auto"/>
        <w:ind w:left="1440"/>
        <w:contextualSpacing w:val="0"/>
      </w:pPr>
    </w:p>
    <w:p w:rsidR="001670EC" w:rsidRPr="003C4F9E" w:rsidRDefault="001670EC" w:rsidP="0070477B">
      <w:pPr>
        <w:spacing w:after="0" w:line="240" w:lineRule="auto"/>
        <w:rPr>
          <w:b/>
          <w:bCs/>
          <w:color w:val="000000"/>
        </w:rPr>
      </w:pPr>
      <w:r w:rsidRPr="003C4F9E">
        <w:rPr>
          <w:b/>
          <w:bCs/>
          <w:color w:val="000000"/>
        </w:rPr>
        <w:t>Focus Area: Vaccine Preventable Disease</w:t>
      </w:r>
    </w:p>
    <w:p w:rsidR="001670EC" w:rsidRPr="003C4F9E" w:rsidRDefault="001670EC" w:rsidP="00C36B27">
      <w:pPr>
        <w:spacing w:after="0" w:line="240" w:lineRule="auto"/>
        <w:rPr>
          <w:b/>
          <w:bCs/>
          <w:color w:val="000000"/>
        </w:rPr>
      </w:pPr>
      <w:r w:rsidRPr="003C4F9E">
        <w:rPr>
          <w:b/>
          <w:bCs/>
          <w:color w:val="000000"/>
        </w:rPr>
        <w:t>Prevention Agenda Indicators</w:t>
      </w:r>
    </w:p>
    <w:p w:rsidR="001670EC" w:rsidRPr="003C4F9E" w:rsidRDefault="001670EC" w:rsidP="00521C49">
      <w:pPr>
        <w:numPr>
          <w:ilvl w:val="0"/>
          <w:numId w:val="6"/>
        </w:numPr>
        <w:spacing w:after="0" w:line="240" w:lineRule="auto"/>
        <w:rPr>
          <w:color w:val="000000"/>
        </w:rPr>
      </w:pPr>
      <w:r w:rsidRPr="003C4F9E">
        <w:rPr>
          <w:color w:val="000000"/>
        </w:rPr>
        <w:t>Percent of Children Ages 19 - 35 months with 4:3:1:3:3:1:4, 2011</w:t>
      </w:r>
    </w:p>
    <w:p w:rsidR="001670EC" w:rsidRPr="003C4F9E" w:rsidRDefault="001670EC" w:rsidP="00521C49">
      <w:pPr>
        <w:numPr>
          <w:ilvl w:val="0"/>
          <w:numId w:val="6"/>
        </w:numPr>
        <w:spacing w:after="0" w:line="240" w:lineRule="auto"/>
        <w:rPr>
          <w:color w:val="000000"/>
        </w:rPr>
      </w:pPr>
      <w:r w:rsidRPr="003C4F9E">
        <w:rPr>
          <w:color w:val="000000"/>
        </w:rPr>
        <w:t>Percent females 13 - 17 with 3 dose HPV vaccine, 2011</w:t>
      </w:r>
    </w:p>
    <w:p w:rsidR="001670EC" w:rsidRPr="003C4F9E" w:rsidRDefault="001670EC" w:rsidP="00521C49">
      <w:pPr>
        <w:pStyle w:val="ListParagraph"/>
        <w:numPr>
          <w:ilvl w:val="0"/>
          <w:numId w:val="6"/>
        </w:numPr>
        <w:spacing w:after="0" w:line="240" w:lineRule="auto"/>
        <w:contextualSpacing w:val="0"/>
      </w:pPr>
      <w:r w:rsidRPr="003C4F9E">
        <w:rPr>
          <w:color w:val="000000"/>
        </w:rPr>
        <w:t>Percent of Adults Ages 65 Plus With Flu Shots Within Last Year, '08/09</w:t>
      </w:r>
    </w:p>
    <w:p w:rsidR="001670EC" w:rsidRDefault="001670EC" w:rsidP="003345C4">
      <w:pPr>
        <w:spacing w:after="0" w:line="240" w:lineRule="auto"/>
        <w:rPr>
          <w:b/>
          <w:bCs/>
          <w:color w:val="000000"/>
        </w:rPr>
      </w:pPr>
    </w:p>
    <w:p w:rsidR="001670EC" w:rsidRPr="003C4F9E" w:rsidRDefault="001670EC" w:rsidP="003345C4">
      <w:pPr>
        <w:spacing w:after="0" w:line="240" w:lineRule="auto"/>
        <w:rPr>
          <w:b/>
          <w:bCs/>
          <w:color w:val="000000"/>
        </w:rPr>
      </w:pPr>
      <w:r w:rsidRPr="003C4F9E">
        <w:rPr>
          <w:b/>
          <w:bCs/>
          <w:color w:val="000000"/>
        </w:rPr>
        <w:t>Focus Area: Healthcare Associated Infections</w:t>
      </w:r>
    </w:p>
    <w:p w:rsidR="001670EC" w:rsidRPr="003C4F9E" w:rsidRDefault="001670EC" w:rsidP="00FB663A">
      <w:pPr>
        <w:spacing w:after="0" w:line="240" w:lineRule="auto"/>
        <w:rPr>
          <w:b/>
          <w:bCs/>
          <w:color w:val="000000"/>
        </w:rPr>
      </w:pPr>
      <w:r w:rsidRPr="003C4F9E">
        <w:rPr>
          <w:b/>
          <w:bCs/>
          <w:color w:val="000000"/>
        </w:rPr>
        <w:t>Prevention Agenda Indicators</w:t>
      </w:r>
    </w:p>
    <w:p w:rsidR="001670EC" w:rsidRPr="003C4F9E" w:rsidRDefault="001670EC" w:rsidP="0070477B">
      <w:pPr>
        <w:numPr>
          <w:ilvl w:val="0"/>
          <w:numId w:val="25"/>
        </w:numPr>
        <w:spacing w:after="0" w:line="240" w:lineRule="auto"/>
        <w:rPr>
          <w:color w:val="000000"/>
        </w:rPr>
      </w:pPr>
      <w:r w:rsidRPr="003C4F9E">
        <w:rPr>
          <w:color w:val="000000"/>
        </w:rPr>
        <w:t>Rate of Hospital Onset CDIs per 10,000 Patient Days, 2011</w:t>
      </w:r>
    </w:p>
    <w:p w:rsidR="001670EC" w:rsidRPr="003C4F9E" w:rsidRDefault="001670EC" w:rsidP="0070477B">
      <w:pPr>
        <w:pStyle w:val="ListParagraph"/>
        <w:numPr>
          <w:ilvl w:val="0"/>
          <w:numId w:val="25"/>
        </w:numPr>
        <w:spacing w:after="0" w:line="240" w:lineRule="auto"/>
        <w:contextualSpacing w:val="0"/>
      </w:pPr>
      <w:r w:rsidRPr="003C4F9E">
        <w:rPr>
          <w:color w:val="000000"/>
        </w:rPr>
        <w:t>Rate of Community Onset, Healthcare Facility Associated CDIs per 10,000 Patient Days, 2011</w:t>
      </w:r>
    </w:p>
    <w:p w:rsidR="001670EC" w:rsidRDefault="001670EC" w:rsidP="00C434C7">
      <w:pPr>
        <w:spacing w:after="0" w:line="240" w:lineRule="auto"/>
      </w:pPr>
    </w:p>
    <w:p w:rsidR="001670EC" w:rsidRPr="00C36B27" w:rsidRDefault="001670EC" w:rsidP="00C434C7">
      <w:pPr>
        <w:spacing w:after="0" w:line="240" w:lineRule="auto"/>
        <w:rPr>
          <w:b/>
        </w:rPr>
      </w:pPr>
      <w:r w:rsidRPr="00C36B27">
        <w:rPr>
          <w:b/>
        </w:rPr>
        <w:t>Regional Challenges</w:t>
      </w:r>
    </w:p>
    <w:tbl>
      <w:tblPr>
        <w:tblW w:w="9564" w:type="dxa"/>
        <w:tblCellMar>
          <w:left w:w="0" w:type="dxa"/>
          <w:right w:w="0" w:type="dxa"/>
        </w:tblCellMar>
        <w:tblLook w:val="00A0"/>
      </w:tblPr>
      <w:tblGrid>
        <w:gridCol w:w="5814"/>
        <w:gridCol w:w="940"/>
        <w:gridCol w:w="1488"/>
        <w:gridCol w:w="1322"/>
      </w:tblGrid>
      <w:tr w:rsidR="001670EC" w:rsidRPr="00F878EE" w:rsidTr="0001670C">
        <w:trPr>
          <w:trHeight w:val="463"/>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Indicator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Fulton </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Montgomery</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Benchmark </w:t>
            </w:r>
          </w:p>
        </w:tc>
      </w:tr>
      <w:tr w:rsidR="001670EC" w:rsidRPr="00F878EE" w:rsidTr="0001670C">
        <w:trPr>
          <w:trHeight w:val="860"/>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Percentage of children, ages 19 – 35  months with 4:3:1:3:3:1:4 immunization series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53.2%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41.7%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80.0% </w:t>
            </w:r>
          </w:p>
        </w:tc>
      </w:tr>
      <w:tr w:rsidR="001670EC" w:rsidRPr="00F878EE" w:rsidTr="0001670C">
        <w:trPr>
          <w:trHeight w:val="662"/>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Percentage of females, ages 13 – 17 years, with 3 dose HPV vaccine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32.5%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19.8%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50.0% </w:t>
            </w:r>
          </w:p>
        </w:tc>
      </w:tr>
      <w:tr w:rsidR="001670EC" w:rsidRPr="00F878EE" w:rsidTr="0001670C">
        <w:trPr>
          <w:trHeight w:val="662"/>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Percentage of adults, ages 65 plus, with flu shot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69.6%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70.1%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75.1% </w:t>
            </w:r>
          </w:p>
        </w:tc>
      </w:tr>
    </w:tbl>
    <w:p w:rsidR="001670EC" w:rsidRPr="00434D1E" w:rsidRDefault="001670EC" w:rsidP="00F85F87">
      <w:pPr>
        <w:pStyle w:val="NoSpacing"/>
        <w:rPr>
          <w:b/>
          <w:u w:val="single"/>
        </w:rPr>
      </w:pPr>
      <w:r w:rsidRPr="00434D1E">
        <w:rPr>
          <w:b/>
          <w:u w:val="single"/>
        </w:rPr>
        <w:t>Stakeholder Input</w:t>
      </w:r>
    </w:p>
    <w:p w:rsidR="001670EC" w:rsidRDefault="001670EC" w:rsidP="00F26D11">
      <w:pPr>
        <w:pStyle w:val="NoSpacing"/>
        <w:rPr>
          <w:b/>
          <w:u w:val="single"/>
        </w:rPr>
      </w:pPr>
    </w:p>
    <w:p w:rsidR="001670EC" w:rsidRPr="00522010" w:rsidRDefault="001670EC" w:rsidP="00F26D11">
      <w:pPr>
        <w:pStyle w:val="NoSpacing"/>
      </w:pPr>
      <w:r w:rsidRPr="00522010">
        <w:t>The low freque</w:t>
      </w:r>
      <w:r>
        <w:t>ncy of HIV infection is encouraging</w:t>
      </w:r>
      <w:r w:rsidRPr="00522010">
        <w:t xml:space="preserve">, but there are other factors in the community that create challenges in that area.  High use of free syringe disposal at pharmacies indicates community knowledge of the resource.  However, concern was expressed that there is a low perception of risk in the community.  There is concurrent low use of needle exchange programs.  A survey conducted by a local agency regarding HIV risk indicated that 50% </w:t>
      </w:r>
      <w:r>
        <w:t xml:space="preserve">of the respondents </w:t>
      </w:r>
      <w:r w:rsidRPr="00522010">
        <w:t>stated that HIV could not be transmitted via a sexual encounter.  Concern was expressed that there is a high volume of New York City transplants in the local area, many of whom enter the criminal justice system.  This population has the potential to transmit</w:t>
      </w:r>
      <w:r>
        <w:t xml:space="preserve"> HIV infection to a low incidence</w:t>
      </w:r>
      <w:r w:rsidRPr="00522010">
        <w:t xml:space="preserve"> area.  Also, concern was expressed that some individuals may see HIV infection as desirable, as infected individuals have access to greater public support benefits.  The lower than benchmark numbers for immunizations may be affected by the computer program used to track rates.</w:t>
      </w:r>
    </w:p>
    <w:p w:rsidR="001670EC" w:rsidRPr="00522010" w:rsidRDefault="001670EC" w:rsidP="00F26D11">
      <w:pPr>
        <w:pStyle w:val="NoSpacing"/>
      </w:pPr>
    </w:p>
    <w:p w:rsidR="001670EC" w:rsidRPr="00522010" w:rsidRDefault="001670EC" w:rsidP="00F26D11">
      <w:pPr>
        <w:pStyle w:val="NoSpacing"/>
      </w:pPr>
      <w:r>
        <w:lastRenderedPageBreak/>
        <w:t>Education</w:t>
      </w:r>
      <w:r w:rsidRPr="00522010">
        <w:t xml:space="preserve"> should be a priority.  </w:t>
      </w:r>
      <w:r>
        <w:t>It is uncertain</w:t>
      </w:r>
      <w:r w:rsidRPr="00522010">
        <w:t xml:space="preserve"> if primary care physicians are adhering to </w:t>
      </w:r>
      <w:r>
        <w:t xml:space="preserve">the </w:t>
      </w:r>
      <w:r w:rsidRPr="00522010">
        <w:t>requirement to offer HIV testing to their patients.  Also, patients look to their physician for health information, but MD’s</w:t>
      </w:r>
      <w:r>
        <w:t xml:space="preserve"> are more likely to discuss</w:t>
      </w:r>
      <w:r w:rsidRPr="00522010">
        <w:t xml:space="preserve"> diet and exercise than HIV prevention.  Because poverty is an issue, we need healthy alternatives that are desirable and affordable.</w:t>
      </w:r>
    </w:p>
    <w:p w:rsidR="001670EC" w:rsidRPr="00522010" w:rsidRDefault="001670EC" w:rsidP="00F26D11">
      <w:pPr>
        <w:pStyle w:val="NoSpacing"/>
      </w:pPr>
    </w:p>
    <w:p w:rsidR="001670EC" w:rsidRPr="00522010" w:rsidRDefault="001670EC" w:rsidP="00522010">
      <w:pPr>
        <w:pStyle w:val="NoSpacing"/>
      </w:pPr>
      <w:r w:rsidRPr="00522010">
        <w:t xml:space="preserve">There are excellent resources in the community.  Most of our children have insurance and a primary care provider.  There is access to free HIV testing and low cost STD testing.  The use of immunization exemptions is low.  It was expressed that we have good programs in place, but we need to address access.  </w:t>
      </w:r>
      <w:r>
        <w:t>There is a n</w:t>
      </w:r>
      <w:r w:rsidRPr="00522010">
        <w:t xml:space="preserve">eed to educate both the medical community and consumers, and provide more support to staff in order to better educate patients.  Social Media should be better utilized for education.  </w:t>
      </w:r>
    </w:p>
    <w:p w:rsidR="001670EC" w:rsidRPr="00522010" w:rsidRDefault="001670EC" w:rsidP="003C4F9E">
      <w:pPr>
        <w:pStyle w:val="ListParagraph"/>
        <w:spacing w:after="0" w:line="240" w:lineRule="auto"/>
        <w:ind w:left="0"/>
        <w:contextualSpacing w:val="0"/>
        <w:rPr>
          <w:sz w:val="28"/>
          <w:szCs w:val="28"/>
        </w:rPr>
      </w:pPr>
    </w:p>
    <w:p w:rsidR="001670EC" w:rsidRDefault="001670EC" w:rsidP="003C4F9E">
      <w:pPr>
        <w:pStyle w:val="ListParagraph"/>
        <w:spacing w:after="0" w:line="240" w:lineRule="auto"/>
        <w:ind w:left="0"/>
        <w:contextualSpacing w:val="0"/>
        <w:rPr>
          <w:b/>
          <w:sz w:val="28"/>
          <w:szCs w:val="28"/>
        </w:rPr>
      </w:pPr>
      <w:r w:rsidRPr="00C36B27">
        <w:rPr>
          <w:b/>
          <w:sz w:val="28"/>
          <w:szCs w:val="28"/>
        </w:rPr>
        <w:t xml:space="preserve">Promote Mental Health and Prevent Substance Abuse Substance Abuse </w:t>
      </w:r>
    </w:p>
    <w:p w:rsidR="001670EC" w:rsidRPr="00C36B27" w:rsidRDefault="001670EC" w:rsidP="003C4F9E">
      <w:pPr>
        <w:pStyle w:val="ListParagraph"/>
        <w:spacing w:after="0" w:line="240" w:lineRule="auto"/>
        <w:ind w:left="0"/>
        <w:contextualSpacing w:val="0"/>
        <w:rPr>
          <w:b/>
          <w:sz w:val="28"/>
          <w:szCs w:val="28"/>
        </w:rPr>
      </w:pPr>
    </w:p>
    <w:p w:rsidR="001670EC" w:rsidRPr="003C4F9E" w:rsidRDefault="001670EC" w:rsidP="003345C4">
      <w:pPr>
        <w:spacing w:after="0" w:line="240" w:lineRule="auto"/>
        <w:rPr>
          <w:b/>
          <w:bCs/>
          <w:color w:val="000000"/>
        </w:rPr>
      </w:pPr>
      <w:r w:rsidRPr="003C4F9E">
        <w:rPr>
          <w:b/>
          <w:bCs/>
          <w:color w:val="000000"/>
        </w:rPr>
        <w:t>Focus Area: Prevent Substance Abuse and Other Mental, Emotional, and Behavioral Disorders</w:t>
      </w:r>
      <w:r>
        <w:rPr>
          <w:b/>
          <w:bCs/>
          <w:color w:val="000000"/>
        </w:rPr>
        <w:t xml:space="preserve"> and -</w:t>
      </w:r>
    </w:p>
    <w:p w:rsidR="001670EC" w:rsidRPr="003C4F9E" w:rsidRDefault="001670EC" w:rsidP="003345C4">
      <w:pPr>
        <w:spacing w:after="0" w:line="240" w:lineRule="auto"/>
        <w:rPr>
          <w:b/>
          <w:bCs/>
          <w:color w:val="000000"/>
        </w:rPr>
      </w:pPr>
      <w:r w:rsidRPr="003C4F9E">
        <w:rPr>
          <w:b/>
          <w:bCs/>
          <w:color w:val="000000"/>
        </w:rPr>
        <w:t>Prevention Agenda Indicators</w:t>
      </w:r>
    </w:p>
    <w:p w:rsidR="001670EC" w:rsidRPr="003C4F9E" w:rsidRDefault="001670EC" w:rsidP="003C4F9E">
      <w:pPr>
        <w:numPr>
          <w:ilvl w:val="0"/>
          <w:numId w:val="26"/>
        </w:numPr>
        <w:spacing w:after="0" w:line="240" w:lineRule="auto"/>
        <w:rPr>
          <w:color w:val="000000"/>
        </w:rPr>
      </w:pPr>
      <w:r w:rsidRPr="003C4F9E">
        <w:rPr>
          <w:color w:val="000000"/>
        </w:rPr>
        <w:t>Percent of Adults Binge Drinking within the Last Month, '08/09</w:t>
      </w:r>
    </w:p>
    <w:p w:rsidR="001670EC" w:rsidRPr="003C4F9E" w:rsidRDefault="001670EC" w:rsidP="003C4F9E">
      <w:pPr>
        <w:numPr>
          <w:ilvl w:val="0"/>
          <w:numId w:val="26"/>
        </w:numPr>
        <w:spacing w:after="0" w:line="240" w:lineRule="auto"/>
        <w:rPr>
          <w:color w:val="000000"/>
        </w:rPr>
      </w:pPr>
      <w:r w:rsidRPr="003C4F9E">
        <w:rPr>
          <w:color w:val="000000"/>
        </w:rPr>
        <w:t>Percent of Adults with Poor Mental Health (14 or More Days) in the Last Month, '08/09</w:t>
      </w:r>
    </w:p>
    <w:p w:rsidR="001670EC" w:rsidRPr="003C4F9E" w:rsidRDefault="001670EC" w:rsidP="003C4F9E">
      <w:pPr>
        <w:pStyle w:val="ListParagraph"/>
        <w:numPr>
          <w:ilvl w:val="0"/>
          <w:numId w:val="26"/>
        </w:numPr>
        <w:spacing w:after="0" w:line="240" w:lineRule="auto"/>
        <w:contextualSpacing w:val="0"/>
      </w:pPr>
      <w:r w:rsidRPr="003C4F9E">
        <w:rPr>
          <w:color w:val="000000"/>
        </w:rPr>
        <w:t>Rate of Age Adjusted Suicides per 100,000 Adjusted Population, '08 - 10</w:t>
      </w:r>
    </w:p>
    <w:p w:rsidR="001670EC" w:rsidRPr="003C4F9E" w:rsidRDefault="001670EC" w:rsidP="003C4F9E">
      <w:pPr>
        <w:pStyle w:val="ListParagraph"/>
        <w:spacing w:after="0" w:line="240" w:lineRule="auto"/>
        <w:contextualSpacing w:val="0"/>
      </w:pPr>
    </w:p>
    <w:p w:rsidR="001670EC" w:rsidRPr="003C4F9E" w:rsidRDefault="001670EC" w:rsidP="00FE6595">
      <w:pPr>
        <w:pStyle w:val="ListParagraph"/>
        <w:spacing w:after="0" w:line="240" w:lineRule="auto"/>
        <w:ind w:left="0"/>
        <w:contextualSpacing w:val="0"/>
      </w:pPr>
      <w:r w:rsidRPr="003C4F9E">
        <w:rPr>
          <w:b/>
          <w:bCs/>
          <w:color w:val="000000"/>
        </w:rPr>
        <w:t>Other Indicators</w:t>
      </w:r>
    </w:p>
    <w:p w:rsidR="001670EC" w:rsidRPr="003C4F9E" w:rsidRDefault="001670EC" w:rsidP="003C4F9E">
      <w:pPr>
        <w:numPr>
          <w:ilvl w:val="0"/>
          <w:numId w:val="27"/>
        </w:numPr>
        <w:spacing w:after="0" w:line="240" w:lineRule="auto"/>
        <w:rPr>
          <w:color w:val="000000"/>
        </w:rPr>
      </w:pPr>
      <w:r w:rsidRPr="003C4F9E">
        <w:rPr>
          <w:color w:val="000000"/>
        </w:rPr>
        <w:t>Rate of Self-inflicted Hospitalizations 10,000 Population, '08 - 10</w:t>
      </w:r>
    </w:p>
    <w:p w:rsidR="001670EC" w:rsidRPr="003C4F9E" w:rsidRDefault="001670EC" w:rsidP="003C4F9E">
      <w:pPr>
        <w:numPr>
          <w:ilvl w:val="0"/>
          <w:numId w:val="27"/>
        </w:numPr>
        <w:spacing w:after="0" w:line="240" w:lineRule="auto"/>
        <w:rPr>
          <w:color w:val="000000"/>
        </w:rPr>
      </w:pPr>
      <w:r w:rsidRPr="003C4F9E">
        <w:rPr>
          <w:color w:val="000000"/>
        </w:rPr>
        <w:t>Rate of Self-inflicted Hospitalizations for Ages 15 - 19 per 10,000 Population Ages 15 - 19, '08 - 10</w:t>
      </w:r>
    </w:p>
    <w:p w:rsidR="001670EC" w:rsidRPr="003C4F9E" w:rsidRDefault="001670EC" w:rsidP="003C4F9E">
      <w:pPr>
        <w:numPr>
          <w:ilvl w:val="0"/>
          <w:numId w:val="27"/>
        </w:numPr>
        <w:spacing w:after="0" w:line="240" w:lineRule="auto"/>
        <w:rPr>
          <w:color w:val="000000"/>
        </w:rPr>
      </w:pPr>
      <w:r w:rsidRPr="003C4F9E">
        <w:rPr>
          <w:color w:val="000000"/>
        </w:rPr>
        <w:t>Rate of Cirrhosis Deaths per 100,000 Population, '08 - 10</w:t>
      </w:r>
    </w:p>
    <w:p w:rsidR="001670EC" w:rsidRPr="003C4F9E" w:rsidRDefault="001670EC" w:rsidP="003C4F9E">
      <w:pPr>
        <w:numPr>
          <w:ilvl w:val="0"/>
          <w:numId w:val="27"/>
        </w:numPr>
        <w:spacing w:after="0" w:line="240" w:lineRule="auto"/>
        <w:rPr>
          <w:color w:val="000000"/>
        </w:rPr>
      </w:pPr>
      <w:r w:rsidRPr="003C4F9E">
        <w:rPr>
          <w:color w:val="000000"/>
        </w:rPr>
        <w:t>Rate of Cirrhosis Hospitalizations per 10,000 Population, '08 - 10</w:t>
      </w:r>
    </w:p>
    <w:p w:rsidR="001670EC" w:rsidRPr="003C4F9E" w:rsidRDefault="001670EC" w:rsidP="003C4F9E">
      <w:pPr>
        <w:numPr>
          <w:ilvl w:val="0"/>
          <w:numId w:val="27"/>
        </w:numPr>
        <w:spacing w:after="0" w:line="240" w:lineRule="auto"/>
        <w:rPr>
          <w:color w:val="000000"/>
        </w:rPr>
      </w:pPr>
      <w:r w:rsidRPr="003C4F9E">
        <w:rPr>
          <w:color w:val="000000"/>
        </w:rPr>
        <w:t>Rate of Alcohol-Related Accidents per 100,000 Population, '09 - 11</w:t>
      </w:r>
    </w:p>
    <w:p w:rsidR="001670EC" w:rsidRPr="003C4F9E" w:rsidRDefault="001670EC" w:rsidP="003C4F9E">
      <w:pPr>
        <w:numPr>
          <w:ilvl w:val="0"/>
          <w:numId w:val="27"/>
        </w:numPr>
        <w:spacing w:after="0" w:line="240" w:lineRule="auto"/>
        <w:rPr>
          <w:color w:val="000000"/>
        </w:rPr>
      </w:pPr>
      <w:r w:rsidRPr="003C4F9E">
        <w:rPr>
          <w:color w:val="000000"/>
        </w:rPr>
        <w:t>Percentage of Alcohol-Related Crashes to Total Accidents, 09 - 11</w:t>
      </w:r>
    </w:p>
    <w:p w:rsidR="001670EC" w:rsidRPr="003C4F9E" w:rsidRDefault="001670EC" w:rsidP="003C4F9E">
      <w:pPr>
        <w:numPr>
          <w:ilvl w:val="0"/>
          <w:numId w:val="27"/>
        </w:numPr>
        <w:spacing w:after="0" w:line="240" w:lineRule="auto"/>
        <w:jc w:val="both"/>
        <w:rPr>
          <w:color w:val="000000"/>
        </w:rPr>
      </w:pPr>
      <w:r w:rsidRPr="003C4F9E">
        <w:rPr>
          <w:color w:val="000000"/>
        </w:rPr>
        <w:t>Rate of Alcohol-Related Injuries and Deaths per 100,000 Population, '08 - 10</w:t>
      </w:r>
    </w:p>
    <w:p w:rsidR="001670EC" w:rsidRPr="003C4F9E" w:rsidRDefault="001670EC" w:rsidP="003C4F9E">
      <w:pPr>
        <w:numPr>
          <w:ilvl w:val="0"/>
          <w:numId w:val="27"/>
        </w:numPr>
        <w:spacing w:after="0" w:line="240" w:lineRule="auto"/>
        <w:rPr>
          <w:color w:val="000000"/>
        </w:rPr>
      </w:pPr>
      <w:r w:rsidRPr="003C4F9E">
        <w:rPr>
          <w:color w:val="000000"/>
        </w:rPr>
        <w:t>Rate of People Served in Mental Health Outpatient Settings Ages 8 and Below per 100,000 Population Ages 8 and Below, 2011</w:t>
      </w:r>
    </w:p>
    <w:p w:rsidR="001670EC" w:rsidRPr="003C4F9E" w:rsidRDefault="001670EC" w:rsidP="003C4F9E">
      <w:pPr>
        <w:numPr>
          <w:ilvl w:val="0"/>
          <w:numId w:val="27"/>
        </w:numPr>
        <w:spacing w:after="0" w:line="240" w:lineRule="auto"/>
        <w:rPr>
          <w:color w:val="000000"/>
        </w:rPr>
      </w:pPr>
      <w:r w:rsidRPr="003C4F9E">
        <w:rPr>
          <w:color w:val="000000"/>
        </w:rPr>
        <w:t>Rate of People Served in Mental Health Outpatient Settings Ages 9 - 17 per 100,000 Population Ages 9 - 17, 2011</w:t>
      </w:r>
    </w:p>
    <w:p w:rsidR="001670EC" w:rsidRPr="003C4F9E" w:rsidRDefault="001670EC" w:rsidP="003C4F9E">
      <w:pPr>
        <w:numPr>
          <w:ilvl w:val="0"/>
          <w:numId w:val="27"/>
        </w:numPr>
        <w:spacing w:after="0" w:line="240" w:lineRule="auto"/>
        <w:rPr>
          <w:color w:val="000000"/>
        </w:rPr>
      </w:pPr>
      <w:r w:rsidRPr="003C4F9E">
        <w:rPr>
          <w:color w:val="000000"/>
        </w:rPr>
        <w:t>Rate of People Served in Mental Health Outpatient Settings Ages 18 - 64 per 100,000 Population Ages 18 - 64, 2011</w:t>
      </w:r>
    </w:p>
    <w:p w:rsidR="001670EC" w:rsidRDefault="001670EC" w:rsidP="00B97B8E">
      <w:pPr>
        <w:pStyle w:val="ListParagraph"/>
        <w:numPr>
          <w:ilvl w:val="0"/>
          <w:numId w:val="27"/>
        </w:numPr>
        <w:spacing w:after="0" w:line="240" w:lineRule="auto"/>
        <w:contextualSpacing w:val="0"/>
      </w:pPr>
      <w:r w:rsidRPr="003C4F9E">
        <w:rPr>
          <w:color w:val="000000"/>
        </w:rPr>
        <w:t>Rate of People Served in Mental Health Outpatient Settings Ages 65 Plus per 100,000 Population Ages 65 Plus, 2011</w:t>
      </w:r>
    </w:p>
    <w:p w:rsidR="001670EC" w:rsidRDefault="001670EC" w:rsidP="00FB663A">
      <w:pPr>
        <w:pStyle w:val="ListParagraph"/>
        <w:spacing w:after="0" w:line="240" w:lineRule="auto"/>
        <w:ind w:left="0"/>
        <w:contextualSpacing w:val="0"/>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Default="001670EC" w:rsidP="00FB663A">
      <w:pPr>
        <w:pStyle w:val="ListParagraph"/>
        <w:spacing w:after="0" w:line="240" w:lineRule="auto"/>
        <w:ind w:left="0"/>
        <w:contextualSpacing w:val="0"/>
        <w:rPr>
          <w:b/>
        </w:rPr>
      </w:pPr>
    </w:p>
    <w:p w:rsidR="001670EC" w:rsidRPr="00177493" w:rsidRDefault="001670EC" w:rsidP="00FB663A">
      <w:pPr>
        <w:pStyle w:val="ListParagraph"/>
        <w:spacing w:after="0" w:line="240" w:lineRule="auto"/>
        <w:ind w:left="0"/>
        <w:contextualSpacing w:val="0"/>
        <w:rPr>
          <w:b/>
        </w:rPr>
      </w:pPr>
      <w:r w:rsidRPr="00177493">
        <w:rPr>
          <w:b/>
        </w:rPr>
        <w:t>Regional Challenges</w:t>
      </w:r>
    </w:p>
    <w:tbl>
      <w:tblPr>
        <w:tblW w:w="0" w:type="auto"/>
        <w:tblCellMar>
          <w:left w:w="0" w:type="dxa"/>
          <w:right w:w="0" w:type="dxa"/>
        </w:tblCellMar>
        <w:tblLook w:val="00A0"/>
      </w:tblPr>
      <w:tblGrid>
        <w:gridCol w:w="5575"/>
        <w:gridCol w:w="1263"/>
        <w:gridCol w:w="1488"/>
        <w:gridCol w:w="1322"/>
      </w:tblGrid>
      <w:tr w:rsidR="001670EC" w:rsidRPr="00F878EE" w:rsidTr="005A07D5">
        <w:trPr>
          <w:trHeight w:val="492"/>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Indicator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Fulton 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Montgomery</w:t>
            </w:r>
          </w:p>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County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b/>
                <w:bCs/>
                <w:color w:val="FFFFFF"/>
                <w:kern w:val="24"/>
              </w:rPr>
              <w:t xml:space="preserve">Benchmark </w:t>
            </w:r>
          </w:p>
        </w:tc>
      </w:tr>
      <w:tr w:rsidR="001670EC" w:rsidRPr="00F878EE" w:rsidTr="005A07D5">
        <w:trPr>
          <w:trHeight w:val="633"/>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children ages 8 and below served in mental health outpatient per 100,000 children ages 8 and below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774.0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716.0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278.5 </w:t>
            </w:r>
          </w:p>
        </w:tc>
      </w:tr>
      <w:tr w:rsidR="001670EC" w:rsidRPr="00F878EE" w:rsidTr="005A07D5">
        <w:trPr>
          <w:trHeight w:val="633"/>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children ages 9 - 17 and below served in mental health outpatient per 100,000 children ages 9 – 17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2,418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2,464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829.9 </w:t>
            </w:r>
          </w:p>
        </w:tc>
      </w:tr>
      <w:tr w:rsidR="001670EC" w:rsidRPr="00F878EE" w:rsidTr="005A07D5">
        <w:trPr>
          <w:trHeight w:val="633"/>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adults  ages 18 – 64 served in mental health outpatient per 100,000 adults ages 18 - 64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1,098.0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825.0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596.5 </w:t>
            </w:r>
          </w:p>
        </w:tc>
      </w:tr>
      <w:tr w:rsidR="001670EC" w:rsidRPr="00F878EE" w:rsidTr="005A07D5">
        <w:trPr>
          <w:trHeight w:val="633"/>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rPr>
                <w:rFonts w:ascii="Arial" w:hAnsi="Arial" w:cs="Arial"/>
              </w:rPr>
            </w:pPr>
            <w:r w:rsidRPr="00F878EE">
              <w:rPr>
                <w:rFonts w:cs="Arial"/>
                <w:color w:val="000000"/>
                <w:kern w:val="24"/>
              </w:rPr>
              <w:t xml:space="preserve">Rate of adults 65 and above served in mental health outpatient per 100,000 adults ages 65 and above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181.0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202.0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F878EE" w:rsidRDefault="001670EC" w:rsidP="00C434C7">
            <w:pPr>
              <w:spacing w:after="0" w:line="240" w:lineRule="auto"/>
              <w:jc w:val="center"/>
              <w:rPr>
                <w:rFonts w:ascii="Arial" w:hAnsi="Arial" w:cs="Arial"/>
              </w:rPr>
            </w:pPr>
            <w:r w:rsidRPr="00F878EE">
              <w:rPr>
                <w:rFonts w:cs="Arial"/>
                <w:color w:val="000000"/>
                <w:kern w:val="24"/>
              </w:rPr>
              <w:t xml:space="preserve">174.2 </w:t>
            </w:r>
          </w:p>
        </w:tc>
      </w:tr>
    </w:tbl>
    <w:p w:rsidR="001670EC" w:rsidRPr="00F878EE" w:rsidRDefault="001670EC" w:rsidP="00C434C7">
      <w:pPr>
        <w:spacing w:after="0" w:line="240" w:lineRule="auto"/>
      </w:pPr>
    </w:p>
    <w:p w:rsidR="001670EC" w:rsidRDefault="001670EC" w:rsidP="006C0D86">
      <w:pPr>
        <w:pStyle w:val="NoSpacing"/>
        <w:rPr>
          <w:b/>
          <w:u w:val="single"/>
        </w:rPr>
      </w:pPr>
    </w:p>
    <w:p w:rsidR="001670EC" w:rsidRPr="00434D1E" w:rsidRDefault="001670EC" w:rsidP="006C0D86">
      <w:pPr>
        <w:pStyle w:val="NoSpacing"/>
        <w:rPr>
          <w:b/>
          <w:u w:val="single"/>
        </w:rPr>
      </w:pPr>
      <w:r w:rsidRPr="00434D1E">
        <w:rPr>
          <w:b/>
          <w:u w:val="single"/>
        </w:rPr>
        <w:t>Stakeholder Input</w:t>
      </w:r>
    </w:p>
    <w:p w:rsidR="001670EC" w:rsidRPr="00E32507" w:rsidRDefault="001670EC" w:rsidP="00F26D11">
      <w:pPr>
        <w:pStyle w:val="NoSpacing"/>
      </w:pPr>
      <w:r w:rsidRPr="00E32507">
        <w:t xml:space="preserve">Mental health is a multifaceted problem in this area.  There are few psych nurse practitioner programs and a difficult recruitment process.  </w:t>
      </w:r>
      <w:r>
        <w:t>A</w:t>
      </w:r>
      <w:r w:rsidRPr="00E32507">
        <w:t xml:space="preserve"> waiting list </w:t>
      </w:r>
      <w:r>
        <w:t xml:space="preserve">exists </w:t>
      </w:r>
      <w:r w:rsidRPr="00E32507">
        <w:t xml:space="preserve">for </w:t>
      </w:r>
      <w:r>
        <w:t>appointments</w:t>
      </w:r>
      <w:r w:rsidRPr="00E32507">
        <w:t xml:space="preserve"> through the Mental Health program.  There is a provider shortage.  </w:t>
      </w:r>
    </w:p>
    <w:p w:rsidR="001670EC" w:rsidRPr="00E32507" w:rsidRDefault="001670EC" w:rsidP="00F26D11">
      <w:pPr>
        <w:pStyle w:val="NoSpacing"/>
      </w:pPr>
    </w:p>
    <w:p w:rsidR="001670EC" w:rsidRPr="00E32507" w:rsidRDefault="001670EC" w:rsidP="00F26D11">
      <w:pPr>
        <w:pStyle w:val="NoSpacing"/>
      </w:pPr>
      <w:r w:rsidRPr="00E32507">
        <w:t xml:space="preserve">Several social factors in the community are </w:t>
      </w:r>
      <w:r>
        <w:t xml:space="preserve">also </w:t>
      </w:r>
      <w:r w:rsidRPr="00E32507">
        <w:t xml:space="preserve">affecting this issue.  We have generational poverty and high unemployment.  The 5-14 age group is decreasing while the aging population increases. Professionals who serve the community don’t reside here.  We have a drug use problem, and most of our low education job opportunities require drug testing, which some of our working class cannot pass.  The suicide rate in NYS is high, and that is related to substance abuse, poverty, unemployment and mental health.  The rate is likely underreported in this area.  </w:t>
      </w:r>
    </w:p>
    <w:p w:rsidR="001670EC" w:rsidRPr="00E32507" w:rsidRDefault="001670EC" w:rsidP="00F26D11">
      <w:pPr>
        <w:pStyle w:val="NoSpacing"/>
      </w:pPr>
    </w:p>
    <w:p w:rsidR="001670EC" w:rsidRPr="00E32507" w:rsidRDefault="001670EC" w:rsidP="00F26D11">
      <w:pPr>
        <w:pStyle w:val="NoSpacing"/>
      </w:pPr>
      <w:r w:rsidRPr="00E32507">
        <w:t xml:space="preserve">The resources </w:t>
      </w:r>
      <w:r>
        <w:t xml:space="preserve">in our community </w:t>
      </w:r>
      <w:r w:rsidRPr="00E32507">
        <w:t>are good.  Family Counseling Center has satellites in the schools, and we have a mobile crisis team. The school districts and providers work well together, but we need to move to greater community support, including government support.  We should include the faith-based community.  St. Mary’s Hospital is the major provider of Mental Health Services in the county.</w:t>
      </w:r>
    </w:p>
    <w:p w:rsidR="001670EC" w:rsidRPr="0073402F" w:rsidRDefault="001670EC" w:rsidP="00F26D11">
      <w:pPr>
        <w:pStyle w:val="NoSpacing"/>
        <w:rPr>
          <w:b/>
        </w:rPr>
      </w:pPr>
    </w:p>
    <w:p w:rsidR="001670EC" w:rsidRDefault="001670EC" w:rsidP="00F26D11"/>
    <w:p w:rsidR="001670EC" w:rsidRPr="00EE0742" w:rsidRDefault="001670EC" w:rsidP="001F7738">
      <w:pPr>
        <w:rPr>
          <w:b/>
          <w:color w:val="C00000"/>
          <w:sz w:val="24"/>
          <w:szCs w:val="24"/>
        </w:rPr>
      </w:pPr>
      <w:r w:rsidRPr="00EE0742">
        <w:rPr>
          <w:b/>
          <w:color w:val="365F91"/>
          <w:sz w:val="28"/>
          <w:szCs w:val="28"/>
        </w:rPr>
        <w:t>Prioritized</w:t>
      </w:r>
      <w:r w:rsidRPr="001F7738">
        <w:rPr>
          <w:b/>
          <w:color w:val="365F91"/>
          <w:sz w:val="28"/>
          <w:szCs w:val="28"/>
        </w:rPr>
        <w:t xml:space="preserve"> Significant Health Needs in </w:t>
      </w:r>
      <w:r>
        <w:rPr>
          <w:b/>
          <w:color w:val="365F91"/>
          <w:sz w:val="28"/>
          <w:szCs w:val="28"/>
        </w:rPr>
        <w:t xml:space="preserve">Fulton </w:t>
      </w:r>
      <w:r w:rsidRPr="001F7738">
        <w:rPr>
          <w:b/>
          <w:color w:val="365F91"/>
          <w:sz w:val="28"/>
          <w:szCs w:val="28"/>
        </w:rPr>
        <w:t>County</w:t>
      </w:r>
      <w:bookmarkEnd w:id="9"/>
      <w:r>
        <w:t xml:space="preserve">   </w:t>
      </w:r>
    </w:p>
    <w:p w:rsidR="001670EC" w:rsidRPr="006C6F13" w:rsidRDefault="001670EC" w:rsidP="00FB6A4F">
      <w:pPr>
        <w:rPr>
          <w:bCs/>
        </w:rPr>
      </w:pPr>
      <w:r w:rsidRPr="006C6F13">
        <w:t xml:space="preserve">In the face of so many needs in the community, creating Prevention Agenda Priorities was a challenge.  Although </w:t>
      </w:r>
      <w:r w:rsidRPr="006C6F13">
        <w:rPr>
          <w:bCs/>
        </w:rPr>
        <w:t>Prevent Substance Abuse and Other Mental, Emotional, and Behavioral Disorders scored highly on the stakeholder focus groups and in the combination Prevention Agenda and local indicators severity score, it scored 5th on the Prevention Agenda indicator score.  In consideration of the local resources and our ability to effect change, this area was not chosen as a priority.</w:t>
      </w:r>
    </w:p>
    <w:p w:rsidR="001670EC" w:rsidRPr="006C6F13" w:rsidRDefault="001670EC" w:rsidP="00FB6A4F">
      <w:pPr>
        <w:rPr>
          <w:bCs/>
        </w:rPr>
      </w:pPr>
      <w:r w:rsidRPr="006C6F13">
        <w:rPr>
          <w:bCs/>
        </w:rPr>
        <w:t>Cancer, Heart Disease, and C</w:t>
      </w:r>
      <w:r>
        <w:rPr>
          <w:bCs/>
        </w:rPr>
        <w:t xml:space="preserve">hronic </w:t>
      </w:r>
      <w:r w:rsidRPr="006C6F13">
        <w:rPr>
          <w:bCs/>
        </w:rPr>
        <w:t>L</w:t>
      </w:r>
      <w:r>
        <w:rPr>
          <w:bCs/>
        </w:rPr>
        <w:t xml:space="preserve">ower </w:t>
      </w:r>
      <w:r w:rsidRPr="006C6F13">
        <w:rPr>
          <w:bCs/>
        </w:rPr>
        <w:t>R</w:t>
      </w:r>
      <w:r>
        <w:rPr>
          <w:bCs/>
        </w:rPr>
        <w:t xml:space="preserve">espiratory </w:t>
      </w:r>
      <w:r w:rsidRPr="006C6F13">
        <w:rPr>
          <w:bCs/>
        </w:rPr>
        <w:t>D</w:t>
      </w:r>
      <w:r>
        <w:rPr>
          <w:bCs/>
        </w:rPr>
        <w:t>isease (CLRD)</w:t>
      </w:r>
      <w:r w:rsidRPr="006C6F13">
        <w:rPr>
          <w:bCs/>
        </w:rPr>
        <w:t xml:space="preserve"> were the 3 leading causes of premature death, and Prevent Chronic Disease was the ARHN Survey Priority Area. </w:t>
      </w:r>
      <w:r w:rsidRPr="006C6F13">
        <w:rPr>
          <w:bCs/>
          <w:color w:val="000000"/>
        </w:rPr>
        <w:t xml:space="preserve">Reduce Illness, Disability, and Death Related to Tobacco Use and Secondhand Smoke Exposure rated highest in the </w:t>
      </w:r>
      <w:r w:rsidRPr="006C6F13">
        <w:rPr>
          <w:bCs/>
          <w:color w:val="000000"/>
        </w:rPr>
        <w:lastRenderedPageBreak/>
        <w:t>Prevention Agenda</w:t>
      </w:r>
      <w:r w:rsidRPr="006C6F13">
        <w:rPr>
          <w:bCs/>
        </w:rPr>
        <w:t xml:space="preserve"> severity score, and </w:t>
      </w:r>
      <w:r>
        <w:rPr>
          <w:bCs/>
        </w:rPr>
        <w:t xml:space="preserve">in </w:t>
      </w:r>
      <w:r w:rsidRPr="006C6F13">
        <w:rPr>
          <w:bCs/>
        </w:rPr>
        <w:t xml:space="preserve">second </w:t>
      </w:r>
      <w:r>
        <w:rPr>
          <w:bCs/>
        </w:rPr>
        <w:t xml:space="preserve">place </w:t>
      </w:r>
      <w:r w:rsidRPr="006C6F13">
        <w:rPr>
          <w:bCs/>
        </w:rPr>
        <w:t xml:space="preserve">was the Built Environment.  In the county health rankings, diet and exercise and tobacco use were second and third as areas where we fared poorly.  </w:t>
      </w:r>
    </w:p>
    <w:p w:rsidR="001670EC" w:rsidRPr="006C6F13" w:rsidRDefault="001670EC" w:rsidP="00FB6A4F">
      <w:pPr>
        <w:rPr>
          <w:bCs/>
        </w:rPr>
      </w:pPr>
      <w:r w:rsidRPr="006C6F13">
        <w:rPr>
          <w:bCs/>
        </w:rPr>
        <w:t>Violence and Occupational Health was third in the Prevention Agenda severity score, but was not chosen as a priority area by any of the other rankings.  The stakeholder focus group indicated that some of the statistics related to this area may be impacted by employer policies requiring E</w:t>
      </w:r>
      <w:r w:rsidR="00C7605B">
        <w:rPr>
          <w:bCs/>
        </w:rPr>
        <w:t>R</w:t>
      </w:r>
      <w:r w:rsidRPr="006C6F13">
        <w:rPr>
          <w:bCs/>
        </w:rPr>
        <w:t xml:space="preserve"> use to evaluate any level of work related injury.</w:t>
      </w:r>
      <w:r>
        <w:rPr>
          <w:bCs/>
        </w:rPr>
        <w:t xml:space="preserve">  Our stakeholders also indicated that education should be considered in this area.</w:t>
      </w:r>
    </w:p>
    <w:p w:rsidR="001670EC" w:rsidRPr="006C6F13" w:rsidRDefault="001670EC" w:rsidP="00FB6A4F">
      <w:pPr>
        <w:rPr>
          <w:bCs/>
        </w:rPr>
      </w:pPr>
      <w:r w:rsidRPr="006C6F13">
        <w:rPr>
          <w:bCs/>
        </w:rPr>
        <w:t>Increasing Access to High Quality Chronic and Preventive Care and Management in both Clinical and Community settings was 4</w:t>
      </w:r>
      <w:r w:rsidRPr="006C6F13">
        <w:rPr>
          <w:bCs/>
          <w:vertAlign w:val="superscript"/>
        </w:rPr>
        <w:t>th</w:t>
      </w:r>
      <w:r w:rsidRPr="006C6F13">
        <w:rPr>
          <w:bCs/>
        </w:rPr>
        <w:t xml:space="preserve"> in the Prevention Agenda</w:t>
      </w:r>
      <w:r>
        <w:rPr>
          <w:bCs/>
        </w:rPr>
        <w:t xml:space="preserve"> severity score and Quality of C</w:t>
      </w:r>
      <w:r w:rsidRPr="006C6F13">
        <w:rPr>
          <w:bCs/>
        </w:rPr>
        <w:t>are in the County Health rankings, and 6</w:t>
      </w:r>
      <w:r w:rsidRPr="006C6F13">
        <w:rPr>
          <w:bCs/>
          <w:vertAlign w:val="superscript"/>
        </w:rPr>
        <w:t>th</w:t>
      </w:r>
      <w:r w:rsidRPr="006C6F13">
        <w:rPr>
          <w:bCs/>
        </w:rPr>
        <w:t xml:space="preserve"> in Prevention Agenda and local severity score.  </w:t>
      </w:r>
      <w:r>
        <w:rPr>
          <w:bCs/>
        </w:rPr>
        <w:t xml:space="preserve">Although </w:t>
      </w:r>
      <w:r w:rsidRPr="006C6F13">
        <w:rPr>
          <w:bCs/>
        </w:rPr>
        <w:t>Promote Healthy Women and Children and Child Health were 4</w:t>
      </w:r>
      <w:r w:rsidRPr="006C6F13">
        <w:rPr>
          <w:bCs/>
          <w:vertAlign w:val="superscript"/>
        </w:rPr>
        <w:t>th</w:t>
      </w:r>
      <w:r w:rsidRPr="006C6F13">
        <w:rPr>
          <w:bCs/>
        </w:rPr>
        <w:t xml:space="preserve"> in </w:t>
      </w:r>
      <w:r>
        <w:rPr>
          <w:bCs/>
        </w:rPr>
        <w:t xml:space="preserve">both </w:t>
      </w:r>
      <w:r w:rsidRPr="006C6F13">
        <w:rPr>
          <w:bCs/>
        </w:rPr>
        <w:t>the ARHN survey</w:t>
      </w:r>
      <w:r w:rsidR="00C7605B">
        <w:rPr>
          <w:bCs/>
        </w:rPr>
        <w:t>,</w:t>
      </w:r>
      <w:r w:rsidRPr="006C6F13">
        <w:rPr>
          <w:bCs/>
        </w:rPr>
        <w:t xml:space="preserve">Prevention Agenda and </w:t>
      </w:r>
      <w:r>
        <w:rPr>
          <w:bCs/>
        </w:rPr>
        <w:t>Local Indicators Severity Score, the rate of childhood lead poisoning and childhood asthma among our children in poverty, and the need to increase immunization rates weighted the rank among the members of the CHAT team.</w:t>
      </w:r>
    </w:p>
    <w:p w:rsidR="001670EC" w:rsidRPr="006C6F13" w:rsidRDefault="001670EC" w:rsidP="00E20AD9">
      <w:pPr>
        <w:pStyle w:val="ListParagraph"/>
        <w:ind w:left="0"/>
        <w:rPr>
          <w:color w:val="C00000"/>
        </w:rPr>
      </w:pPr>
      <w:r w:rsidRPr="006C6F13">
        <w:rPr>
          <w:color w:val="C00000"/>
        </w:rPr>
        <w:t>As there are numerous areas of need, it was imperative that the priorities selected were cross-cutting and had the potential for meaningful change within our system.  Based on analysis of the available health data, community surveys, input from stakeholders and discussions at the regional and local levels, the following have been identified as the prioritized significant health needs in Fulton County that will be of major focus for the next three years.  In order of priority they are:</w:t>
      </w:r>
    </w:p>
    <w:p w:rsidR="001670EC" w:rsidRPr="006C6F13" w:rsidRDefault="001670EC" w:rsidP="00F26D11">
      <w:pPr>
        <w:numPr>
          <w:ilvl w:val="0"/>
          <w:numId w:val="33"/>
        </w:numPr>
        <w:rPr>
          <w:color w:val="C00000"/>
        </w:rPr>
      </w:pPr>
      <w:r w:rsidRPr="006C6F13">
        <w:rPr>
          <w:color w:val="C00000"/>
        </w:rPr>
        <w:t xml:space="preserve">Prevent Chronic Disease </w:t>
      </w:r>
    </w:p>
    <w:p w:rsidR="001670EC" w:rsidRPr="006C6F13" w:rsidRDefault="001670EC" w:rsidP="00F26D11">
      <w:pPr>
        <w:numPr>
          <w:ilvl w:val="0"/>
          <w:numId w:val="34"/>
        </w:numPr>
        <w:rPr>
          <w:color w:val="C00000"/>
        </w:rPr>
      </w:pPr>
      <w:r w:rsidRPr="006C6F13">
        <w:rPr>
          <w:color w:val="C00000"/>
        </w:rPr>
        <w:t>Reduce Obesity in Adults and Children</w:t>
      </w:r>
    </w:p>
    <w:p w:rsidR="001670EC" w:rsidRPr="006C6F13" w:rsidRDefault="001670EC" w:rsidP="00F26D11">
      <w:pPr>
        <w:numPr>
          <w:ilvl w:val="0"/>
          <w:numId w:val="34"/>
        </w:numPr>
        <w:rPr>
          <w:color w:val="C00000"/>
        </w:rPr>
      </w:pPr>
      <w:r w:rsidRPr="006C6F13">
        <w:rPr>
          <w:color w:val="C00000"/>
        </w:rPr>
        <w:t>Increase access to high-quality chronic disease preventive care and management in clinical and community settings</w:t>
      </w:r>
    </w:p>
    <w:p w:rsidR="001670EC" w:rsidRPr="006C6F13" w:rsidRDefault="001670EC" w:rsidP="003A6073">
      <w:pPr>
        <w:numPr>
          <w:ilvl w:val="0"/>
          <w:numId w:val="33"/>
        </w:numPr>
        <w:rPr>
          <w:color w:val="C00000"/>
        </w:rPr>
      </w:pPr>
      <w:r w:rsidRPr="006C6F13">
        <w:rPr>
          <w:color w:val="C00000"/>
        </w:rPr>
        <w:t>Promote Healthy Women, Infants and Children</w:t>
      </w:r>
    </w:p>
    <w:p w:rsidR="001670EC" w:rsidRPr="006C6F13" w:rsidRDefault="001670EC" w:rsidP="0099409C">
      <w:pPr>
        <w:ind w:left="1440" w:hanging="360"/>
        <w:rPr>
          <w:color w:val="C00000"/>
        </w:rPr>
      </w:pPr>
      <w:r w:rsidRPr="006C6F13">
        <w:rPr>
          <w:color w:val="C00000"/>
        </w:rPr>
        <w:t>a)</w:t>
      </w:r>
      <w:r w:rsidRPr="006C6F13">
        <w:rPr>
          <w:color w:val="C00000"/>
        </w:rPr>
        <w:tab/>
        <w:t xml:space="preserve">Increase the use of comprehensive well child care </w:t>
      </w:r>
    </w:p>
    <w:p w:rsidR="001670EC" w:rsidRPr="00C26031" w:rsidRDefault="001670EC" w:rsidP="00E20AD9">
      <w:pPr>
        <w:rPr>
          <w:b/>
          <w:color w:val="C00000"/>
          <w:sz w:val="24"/>
          <w:szCs w:val="24"/>
        </w:rPr>
      </w:pPr>
      <w:r w:rsidRPr="00C26031">
        <w:rPr>
          <w:b/>
          <w:color w:val="C00000"/>
          <w:sz w:val="24"/>
          <w:szCs w:val="24"/>
        </w:rPr>
        <w:t>Assets and Resources to Address Needs</w:t>
      </w:r>
    </w:p>
    <w:p w:rsidR="001670EC" w:rsidRPr="00C26031" w:rsidRDefault="001670EC" w:rsidP="00E20AD9">
      <w:pPr>
        <w:rPr>
          <w:color w:val="C00000"/>
          <w:sz w:val="24"/>
          <w:szCs w:val="24"/>
          <w:u w:val="single"/>
        </w:rPr>
      </w:pPr>
      <w:r w:rsidRPr="00C26031">
        <w:rPr>
          <w:color w:val="C00000"/>
          <w:sz w:val="24"/>
          <w:szCs w:val="24"/>
          <w:u w:val="single"/>
        </w:rPr>
        <w:t xml:space="preserve">Priority </w:t>
      </w:r>
      <w:r>
        <w:rPr>
          <w:color w:val="C00000"/>
          <w:sz w:val="24"/>
          <w:szCs w:val="24"/>
          <w:u w:val="single"/>
        </w:rPr>
        <w:t>#1 Public Health</w:t>
      </w:r>
      <w:r w:rsidRPr="00C26031">
        <w:rPr>
          <w:color w:val="C00000"/>
          <w:sz w:val="24"/>
          <w:szCs w:val="24"/>
          <w:u w:val="single"/>
        </w:rPr>
        <w:t>– Prevent Child and Adult Obesity</w:t>
      </w:r>
    </w:p>
    <w:p w:rsidR="001670EC" w:rsidRPr="00C60DE7" w:rsidRDefault="001670EC" w:rsidP="00C26031">
      <w:pPr>
        <w:rPr>
          <w:color w:val="C00000"/>
        </w:rPr>
      </w:pPr>
      <w:r w:rsidRPr="00C60DE7">
        <w:rPr>
          <w:color w:val="C00000"/>
        </w:rPr>
        <w:t>Several services are offered for children, adults and families that relate to weight management, nutritional counseling, and healthy lifestyles. They include:</w:t>
      </w:r>
    </w:p>
    <w:p w:rsidR="001670EC" w:rsidRPr="00C60DE7" w:rsidRDefault="001670EC" w:rsidP="00521C49">
      <w:pPr>
        <w:pStyle w:val="ListParagraph"/>
        <w:numPr>
          <w:ilvl w:val="0"/>
          <w:numId w:val="5"/>
        </w:numPr>
        <w:rPr>
          <w:color w:val="C00000"/>
        </w:rPr>
      </w:pPr>
      <w:r w:rsidRPr="00C60DE7">
        <w:rPr>
          <w:color w:val="C00000"/>
        </w:rPr>
        <w:t>Nutrition Services for assessment, planning and counseling</w:t>
      </w:r>
    </w:p>
    <w:p w:rsidR="001670EC" w:rsidRPr="00C60DE7" w:rsidRDefault="001670EC" w:rsidP="00521C49">
      <w:pPr>
        <w:pStyle w:val="ListParagraph"/>
        <w:numPr>
          <w:ilvl w:val="0"/>
          <w:numId w:val="5"/>
        </w:numPr>
        <w:rPr>
          <w:color w:val="C00000"/>
        </w:rPr>
      </w:pPr>
      <w:r w:rsidRPr="00C60DE7">
        <w:rPr>
          <w:color w:val="C00000"/>
        </w:rPr>
        <w:t>Hospital inpatient nutrition counseling for disease and condition specific populations</w:t>
      </w:r>
    </w:p>
    <w:p w:rsidR="001670EC" w:rsidRPr="00C60DE7" w:rsidRDefault="001670EC" w:rsidP="00521C49">
      <w:pPr>
        <w:pStyle w:val="ListParagraph"/>
        <w:numPr>
          <w:ilvl w:val="0"/>
          <w:numId w:val="5"/>
        </w:numPr>
        <w:rPr>
          <w:color w:val="C00000"/>
        </w:rPr>
      </w:pPr>
      <w:r w:rsidRPr="00C60DE7">
        <w:rPr>
          <w:color w:val="C00000"/>
        </w:rPr>
        <w:t>Community gardens</w:t>
      </w:r>
    </w:p>
    <w:p w:rsidR="001670EC" w:rsidRPr="00C60DE7" w:rsidRDefault="001670EC" w:rsidP="00521C49">
      <w:pPr>
        <w:pStyle w:val="ListParagraph"/>
        <w:numPr>
          <w:ilvl w:val="0"/>
          <w:numId w:val="5"/>
        </w:numPr>
        <w:rPr>
          <w:color w:val="C00000"/>
        </w:rPr>
      </w:pPr>
      <w:r w:rsidRPr="00C60DE7">
        <w:rPr>
          <w:color w:val="C00000"/>
        </w:rPr>
        <w:t>Farmers Market</w:t>
      </w:r>
    </w:p>
    <w:p w:rsidR="001670EC" w:rsidRPr="00C60DE7" w:rsidRDefault="001670EC" w:rsidP="00521C49">
      <w:pPr>
        <w:pStyle w:val="ListParagraph"/>
        <w:numPr>
          <w:ilvl w:val="0"/>
          <w:numId w:val="5"/>
        </w:numPr>
        <w:rPr>
          <w:color w:val="C00000"/>
        </w:rPr>
      </w:pPr>
      <w:r w:rsidRPr="00C60DE7">
        <w:rPr>
          <w:color w:val="C00000"/>
        </w:rPr>
        <w:t>YMCA, Fit Happens, or other wellness facilities</w:t>
      </w:r>
    </w:p>
    <w:p w:rsidR="001670EC" w:rsidRPr="00C60DE7" w:rsidRDefault="001670EC" w:rsidP="00521C49">
      <w:pPr>
        <w:pStyle w:val="ListParagraph"/>
        <w:numPr>
          <w:ilvl w:val="0"/>
          <w:numId w:val="5"/>
        </w:numPr>
        <w:rPr>
          <w:color w:val="C00000"/>
        </w:rPr>
      </w:pPr>
      <w:r w:rsidRPr="00C60DE7">
        <w:rPr>
          <w:color w:val="C00000"/>
        </w:rPr>
        <w:t>Rail trail</w:t>
      </w:r>
    </w:p>
    <w:p w:rsidR="001670EC" w:rsidRPr="00C60DE7" w:rsidRDefault="001670EC" w:rsidP="00521C49">
      <w:pPr>
        <w:pStyle w:val="ListParagraph"/>
        <w:numPr>
          <w:ilvl w:val="0"/>
          <w:numId w:val="5"/>
        </w:numPr>
        <w:rPr>
          <w:color w:val="C00000"/>
        </w:rPr>
      </w:pPr>
      <w:r w:rsidRPr="00C60DE7">
        <w:rPr>
          <w:color w:val="C00000"/>
        </w:rPr>
        <w:lastRenderedPageBreak/>
        <w:t xml:space="preserve">Shared used walking programs (i.e. mall and school) </w:t>
      </w:r>
    </w:p>
    <w:p w:rsidR="001670EC" w:rsidRDefault="001670EC" w:rsidP="00521C49">
      <w:pPr>
        <w:pStyle w:val="ListParagraph"/>
        <w:numPr>
          <w:ilvl w:val="0"/>
          <w:numId w:val="5"/>
        </w:numPr>
        <w:rPr>
          <w:color w:val="C00000"/>
        </w:rPr>
      </w:pPr>
      <w:r w:rsidRPr="00C60DE7">
        <w:rPr>
          <w:color w:val="C00000"/>
        </w:rPr>
        <w:t>Employer-sponsored wellness programs</w:t>
      </w:r>
    </w:p>
    <w:p w:rsidR="001670EC" w:rsidRDefault="001670EC" w:rsidP="003B2AE1">
      <w:pPr>
        <w:pStyle w:val="ListParagraph"/>
        <w:ind w:left="360"/>
        <w:rPr>
          <w:color w:val="C00000"/>
        </w:rPr>
      </w:pPr>
      <w:r>
        <w:rPr>
          <w:color w:val="C00000"/>
        </w:rPr>
        <w:t>Agencies that have supported healthy lifestyle initiatives:</w:t>
      </w:r>
    </w:p>
    <w:p w:rsidR="001670EC" w:rsidRDefault="001670EC" w:rsidP="003B2AE1">
      <w:pPr>
        <w:pStyle w:val="ListParagraph"/>
        <w:numPr>
          <w:ilvl w:val="0"/>
          <w:numId w:val="37"/>
        </w:numPr>
        <w:rPr>
          <w:color w:val="C00000"/>
        </w:rPr>
      </w:pPr>
      <w:r>
        <w:rPr>
          <w:color w:val="C00000"/>
        </w:rPr>
        <w:t>Boys and Girls Club</w:t>
      </w:r>
    </w:p>
    <w:p w:rsidR="001670EC" w:rsidRDefault="001670EC" w:rsidP="003B2AE1">
      <w:pPr>
        <w:pStyle w:val="ListParagraph"/>
        <w:numPr>
          <w:ilvl w:val="0"/>
          <w:numId w:val="37"/>
        </w:numPr>
        <w:rPr>
          <w:color w:val="C00000"/>
        </w:rPr>
      </w:pPr>
      <w:r>
        <w:rPr>
          <w:color w:val="C00000"/>
        </w:rPr>
        <w:t>Cornell Cooperative Extension</w:t>
      </w:r>
    </w:p>
    <w:p w:rsidR="001670EC" w:rsidRDefault="001670EC" w:rsidP="003B2AE1">
      <w:pPr>
        <w:pStyle w:val="ListParagraph"/>
        <w:numPr>
          <w:ilvl w:val="0"/>
          <w:numId w:val="37"/>
        </w:numPr>
        <w:rPr>
          <w:color w:val="C00000"/>
        </w:rPr>
      </w:pPr>
      <w:r>
        <w:rPr>
          <w:color w:val="C00000"/>
        </w:rPr>
        <w:t>Nathan Littauer Hospital</w:t>
      </w:r>
    </w:p>
    <w:p w:rsidR="001670EC" w:rsidRDefault="001670EC" w:rsidP="003B2AE1">
      <w:pPr>
        <w:pStyle w:val="ListParagraph"/>
        <w:numPr>
          <w:ilvl w:val="0"/>
          <w:numId w:val="37"/>
        </w:numPr>
        <w:rPr>
          <w:color w:val="C00000"/>
        </w:rPr>
      </w:pPr>
      <w:r>
        <w:rPr>
          <w:color w:val="C00000"/>
        </w:rPr>
        <w:t>Office For Aging and Youth</w:t>
      </w:r>
    </w:p>
    <w:p w:rsidR="001670EC" w:rsidRDefault="001670EC" w:rsidP="003B2AE1">
      <w:pPr>
        <w:pStyle w:val="ListParagraph"/>
        <w:numPr>
          <w:ilvl w:val="0"/>
          <w:numId w:val="37"/>
        </w:numPr>
        <w:rPr>
          <w:color w:val="C00000"/>
        </w:rPr>
      </w:pPr>
      <w:r>
        <w:rPr>
          <w:color w:val="C00000"/>
        </w:rPr>
        <w:t>Hamilton-Fulton-Montgomery BOCES</w:t>
      </w:r>
    </w:p>
    <w:p w:rsidR="001670EC" w:rsidRPr="00C973F6" w:rsidRDefault="001670EC" w:rsidP="00C973F6">
      <w:pPr>
        <w:pStyle w:val="ListParagraph"/>
        <w:numPr>
          <w:ilvl w:val="0"/>
          <w:numId w:val="37"/>
        </w:numPr>
        <w:rPr>
          <w:color w:val="C00000"/>
        </w:rPr>
      </w:pPr>
      <w:r>
        <w:rPr>
          <w:color w:val="C00000"/>
        </w:rPr>
        <w:t>Gloversville City Government</w:t>
      </w:r>
    </w:p>
    <w:p w:rsidR="001670EC" w:rsidRDefault="001670EC" w:rsidP="001D786B">
      <w:pPr>
        <w:rPr>
          <w:color w:val="C00000"/>
          <w:sz w:val="24"/>
          <w:szCs w:val="24"/>
          <w:u w:val="single"/>
        </w:rPr>
      </w:pPr>
      <w:r w:rsidRPr="006458CE">
        <w:rPr>
          <w:color w:val="C00000"/>
          <w:sz w:val="24"/>
          <w:szCs w:val="24"/>
          <w:u w:val="single"/>
        </w:rPr>
        <w:t>Priority #1 – Nathan Littauer - Increase access to high-quality chronic disease preventive care and management in clinical and community settings</w:t>
      </w:r>
    </w:p>
    <w:p w:rsidR="001670EC" w:rsidRPr="003B2AE1" w:rsidRDefault="001670EC" w:rsidP="006458CE">
      <w:pPr>
        <w:rPr>
          <w:color w:val="C00000"/>
        </w:rPr>
      </w:pPr>
      <w:r w:rsidRPr="003B2AE1">
        <w:rPr>
          <w:color w:val="C00000"/>
        </w:rPr>
        <w:t>Several Resources are available in the community that assists our residents in education, management and early detention of chronic disease.   They include:</w:t>
      </w:r>
    </w:p>
    <w:p w:rsidR="001670EC" w:rsidRPr="00C60DE7" w:rsidRDefault="001670EC" w:rsidP="00C60DE7">
      <w:pPr>
        <w:numPr>
          <w:ilvl w:val="0"/>
          <w:numId w:val="36"/>
        </w:numPr>
        <w:contextualSpacing/>
        <w:rPr>
          <w:color w:val="C00000"/>
        </w:rPr>
      </w:pPr>
      <w:r w:rsidRPr="00C60DE7">
        <w:rPr>
          <w:color w:val="C00000"/>
        </w:rPr>
        <w:t>Healthlink Littauer</w:t>
      </w:r>
    </w:p>
    <w:p w:rsidR="001670EC" w:rsidRPr="00C60DE7" w:rsidRDefault="001670EC" w:rsidP="00C60DE7">
      <w:pPr>
        <w:numPr>
          <w:ilvl w:val="0"/>
          <w:numId w:val="36"/>
        </w:numPr>
        <w:contextualSpacing/>
        <w:rPr>
          <w:color w:val="C00000"/>
        </w:rPr>
      </w:pPr>
      <w:r w:rsidRPr="00C60DE7">
        <w:rPr>
          <w:color w:val="C00000"/>
        </w:rPr>
        <w:t>Pr</w:t>
      </w:r>
      <w:r>
        <w:rPr>
          <w:color w:val="C00000"/>
        </w:rPr>
        <w:t>oject Action Tobacco Cessation P</w:t>
      </w:r>
      <w:r w:rsidRPr="00C60DE7">
        <w:rPr>
          <w:color w:val="C00000"/>
        </w:rPr>
        <w:t>rograms</w:t>
      </w:r>
    </w:p>
    <w:p w:rsidR="001670EC" w:rsidRPr="00C60DE7" w:rsidRDefault="001670EC" w:rsidP="00C60DE7">
      <w:pPr>
        <w:numPr>
          <w:ilvl w:val="0"/>
          <w:numId w:val="36"/>
        </w:numPr>
        <w:contextualSpacing/>
        <w:rPr>
          <w:color w:val="C00000"/>
        </w:rPr>
      </w:pPr>
      <w:r>
        <w:rPr>
          <w:color w:val="C00000"/>
        </w:rPr>
        <w:t>Reality Check Tobacco E</w:t>
      </w:r>
      <w:r w:rsidRPr="00C60DE7">
        <w:rPr>
          <w:color w:val="C00000"/>
        </w:rPr>
        <w:t xml:space="preserve">ducation </w:t>
      </w:r>
      <w:r>
        <w:rPr>
          <w:color w:val="C00000"/>
        </w:rPr>
        <w:t>P</w:t>
      </w:r>
      <w:r w:rsidRPr="00C60DE7">
        <w:rPr>
          <w:color w:val="C00000"/>
        </w:rPr>
        <w:t>rograms for Youth</w:t>
      </w:r>
    </w:p>
    <w:p w:rsidR="001670EC" w:rsidRPr="00C60DE7" w:rsidRDefault="001670EC" w:rsidP="00C60DE7">
      <w:pPr>
        <w:numPr>
          <w:ilvl w:val="0"/>
          <w:numId w:val="36"/>
        </w:numPr>
        <w:contextualSpacing/>
        <w:rPr>
          <w:color w:val="C00000"/>
        </w:rPr>
      </w:pPr>
      <w:r w:rsidRPr="00C60DE7">
        <w:rPr>
          <w:color w:val="C00000"/>
        </w:rPr>
        <w:t>Cancer Services Program</w:t>
      </w:r>
    </w:p>
    <w:p w:rsidR="001670EC" w:rsidRDefault="001670EC" w:rsidP="00D977EC">
      <w:pPr>
        <w:numPr>
          <w:ilvl w:val="0"/>
          <w:numId w:val="36"/>
        </w:numPr>
        <w:contextualSpacing/>
        <w:rPr>
          <w:color w:val="C00000"/>
        </w:rPr>
      </w:pPr>
      <w:r w:rsidRPr="00432831">
        <w:rPr>
          <w:color w:val="C00000"/>
        </w:rPr>
        <w:t>Breast and Prostate Cancer Screening paid time off for Fulton County Government</w:t>
      </w:r>
      <w:r>
        <w:rPr>
          <w:color w:val="C00000"/>
        </w:rPr>
        <w:t xml:space="preserve"> employees and other large employers</w:t>
      </w:r>
    </w:p>
    <w:p w:rsidR="001670EC" w:rsidRDefault="001670EC" w:rsidP="00D977EC">
      <w:pPr>
        <w:numPr>
          <w:ilvl w:val="0"/>
          <w:numId w:val="36"/>
        </w:numPr>
        <w:contextualSpacing/>
        <w:rPr>
          <w:color w:val="C00000"/>
        </w:rPr>
      </w:pPr>
      <w:r>
        <w:rPr>
          <w:color w:val="C00000"/>
        </w:rPr>
        <w:t>Nathan Littauer Navigator Program</w:t>
      </w:r>
    </w:p>
    <w:p w:rsidR="001670EC" w:rsidRDefault="001670EC" w:rsidP="00D977EC">
      <w:pPr>
        <w:numPr>
          <w:ilvl w:val="0"/>
          <w:numId w:val="36"/>
        </w:numPr>
        <w:contextualSpacing/>
        <w:rPr>
          <w:color w:val="C00000"/>
        </w:rPr>
      </w:pPr>
      <w:r>
        <w:rPr>
          <w:color w:val="C00000"/>
        </w:rPr>
        <w:t>American Heart Association</w:t>
      </w:r>
    </w:p>
    <w:p w:rsidR="001670EC" w:rsidRDefault="001670EC" w:rsidP="00D977EC">
      <w:pPr>
        <w:numPr>
          <w:ilvl w:val="0"/>
          <w:numId w:val="36"/>
        </w:numPr>
        <w:contextualSpacing/>
        <w:rPr>
          <w:color w:val="C00000"/>
        </w:rPr>
      </w:pPr>
      <w:r>
        <w:rPr>
          <w:color w:val="C00000"/>
        </w:rPr>
        <w:t>American Cancer Society</w:t>
      </w:r>
    </w:p>
    <w:p w:rsidR="001670EC" w:rsidRDefault="001670EC" w:rsidP="00D977EC">
      <w:pPr>
        <w:numPr>
          <w:ilvl w:val="0"/>
          <w:numId w:val="36"/>
        </w:numPr>
        <w:contextualSpacing/>
        <w:rPr>
          <w:color w:val="C00000"/>
        </w:rPr>
      </w:pPr>
      <w:r>
        <w:rPr>
          <w:color w:val="C00000"/>
        </w:rPr>
        <w:t>HFM Prevention Council</w:t>
      </w:r>
    </w:p>
    <w:p w:rsidR="001670EC" w:rsidRDefault="001670EC" w:rsidP="00D977EC">
      <w:pPr>
        <w:numPr>
          <w:ilvl w:val="0"/>
          <w:numId w:val="36"/>
        </w:numPr>
        <w:contextualSpacing/>
        <w:rPr>
          <w:color w:val="C00000"/>
        </w:rPr>
      </w:pPr>
      <w:r>
        <w:rPr>
          <w:color w:val="C00000"/>
        </w:rPr>
        <w:t>American Lung Association</w:t>
      </w:r>
    </w:p>
    <w:p w:rsidR="001670EC" w:rsidRDefault="001670EC" w:rsidP="00D977EC">
      <w:pPr>
        <w:numPr>
          <w:ilvl w:val="0"/>
          <w:numId w:val="36"/>
        </w:numPr>
        <w:contextualSpacing/>
        <w:rPr>
          <w:color w:val="C00000"/>
        </w:rPr>
      </w:pPr>
      <w:r>
        <w:rPr>
          <w:color w:val="C00000"/>
        </w:rPr>
        <w:t>Employee Wellness Programs</w:t>
      </w:r>
    </w:p>
    <w:p w:rsidR="001670EC" w:rsidRDefault="001670EC" w:rsidP="00C973F6">
      <w:pPr>
        <w:numPr>
          <w:ilvl w:val="0"/>
          <w:numId w:val="36"/>
        </w:numPr>
        <w:contextualSpacing/>
        <w:rPr>
          <w:color w:val="C00000"/>
        </w:rPr>
      </w:pPr>
      <w:r>
        <w:rPr>
          <w:color w:val="C00000"/>
        </w:rPr>
        <w:t>Community Health Center</w:t>
      </w:r>
    </w:p>
    <w:p w:rsidR="001670EC" w:rsidRPr="00C973F6" w:rsidRDefault="001670EC" w:rsidP="00C973F6">
      <w:pPr>
        <w:numPr>
          <w:ilvl w:val="0"/>
          <w:numId w:val="36"/>
        </w:numPr>
        <w:contextualSpacing/>
        <w:rPr>
          <w:color w:val="C00000"/>
        </w:rPr>
      </w:pPr>
    </w:p>
    <w:p w:rsidR="001670EC" w:rsidRDefault="001670EC" w:rsidP="006455F2">
      <w:pPr>
        <w:rPr>
          <w:color w:val="C00000"/>
          <w:sz w:val="24"/>
          <w:szCs w:val="24"/>
          <w:u w:val="single"/>
        </w:rPr>
      </w:pPr>
      <w:r w:rsidRPr="00E95DC5">
        <w:rPr>
          <w:color w:val="C00000"/>
          <w:sz w:val="24"/>
          <w:szCs w:val="24"/>
          <w:u w:val="single"/>
        </w:rPr>
        <w:t>Priority</w:t>
      </w:r>
      <w:r>
        <w:rPr>
          <w:color w:val="C00000"/>
          <w:sz w:val="24"/>
          <w:szCs w:val="24"/>
          <w:u w:val="single"/>
        </w:rPr>
        <w:t xml:space="preserve"> </w:t>
      </w:r>
      <w:r w:rsidRPr="00E95DC5">
        <w:rPr>
          <w:color w:val="C00000"/>
          <w:sz w:val="24"/>
          <w:szCs w:val="24"/>
          <w:u w:val="single"/>
        </w:rPr>
        <w:t>#2 – Promote Healthy Women, Infants and Children</w:t>
      </w:r>
      <w:r>
        <w:rPr>
          <w:color w:val="C00000"/>
          <w:sz w:val="24"/>
          <w:szCs w:val="24"/>
          <w:u w:val="single"/>
        </w:rPr>
        <w:t xml:space="preserve">- </w:t>
      </w:r>
      <w:r w:rsidRPr="00D73394">
        <w:rPr>
          <w:color w:val="C00000"/>
          <w:sz w:val="24"/>
          <w:szCs w:val="24"/>
          <w:u w:val="single"/>
        </w:rPr>
        <w:t xml:space="preserve">Increase the use of comprehensive well child care </w:t>
      </w:r>
    </w:p>
    <w:p w:rsidR="001670EC" w:rsidRPr="00C973F6" w:rsidRDefault="001670EC" w:rsidP="006455F2">
      <w:pPr>
        <w:rPr>
          <w:color w:val="C00000"/>
        </w:rPr>
      </w:pPr>
      <w:r>
        <w:rPr>
          <w:color w:val="C00000"/>
        </w:rPr>
        <w:t>Several programs and agencies currently provide services to families with children in poverty that link children to well care services.  They include:</w:t>
      </w:r>
    </w:p>
    <w:p w:rsidR="001670EC" w:rsidRPr="0075117C" w:rsidRDefault="001670EC" w:rsidP="00432831">
      <w:pPr>
        <w:numPr>
          <w:ilvl w:val="0"/>
          <w:numId w:val="38"/>
        </w:numPr>
        <w:contextualSpacing/>
        <w:rPr>
          <w:color w:val="C00000"/>
          <w:u w:val="single"/>
        </w:rPr>
      </w:pPr>
      <w:r w:rsidRPr="00432831">
        <w:rPr>
          <w:color w:val="C00000"/>
        </w:rPr>
        <w:t>Fulton County C</w:t>
      </w:r>
      <w:r>
        <w:rPr>
          <w:color w:val="C00000"/>
        </w:rPr>
        <w:t>hildhood Lead Poisoning Prevention Program</w:t>
      </w:r>
    </w:p>
    <w:p w:rsidR="001670EC" w:rsidRPr="00C973F6" w:rsidRDefault="001670EC" w:rsidP="00432831">
      <w:pPr>
        <w:numPr>
          <w:ilvl w:val="0"/>
          <w:numId w:val="38"/>
        </w:numPr>
        <w:contextualSpacing/>
        <w:rPr>
          <w:color w:val="C00000"/>
          <w:u w:val="single"/>
        </w:rPr>
      </w:pPr>
      <w:r>
        <w:rPr>
          <w:color w:val="C00000"/>
        </w:rPr>
        <w:t>Fulton County Immunization Program</w:t>
      </w:r>
    </w:p>
    <w:p w:rsidR="001670EC" w:rsidRPr="00C973F6" w:rsidRDefault="001670EC" w:rsidP="00432831">
      <w:pPr>
        <w:numPr>
          <w:ilvl w:val="0"/>
          <w:numId w:val="38"/>
        </w:numPr>
        <w:contextualSpacing/>
        <w:rPr>
          <w:color w:val="C00000"/>
          <w:u w:val="single"/>
        </w:rPr>
      </w:pPr>
      <w:r>
        <w:rPr>
          <w:color w:val="C00000"/>
        </w:rPr>
        <w:t>Fulton County Early Intervention Program</w:t>
      </w:r>
    </w:p>
    <w:p w:rsidR="001670EC" w:rsidRPr="00C973F6" w:rsidRDefault="001670EC" w:rsidP="00C973F6">
      <w:pPr>
        <w:numPr>
          <w:ilvl w:val="0"/>
          <w:numId w:val="38"/>
        </w:numPr>
        <w:contextualSpacing/>
        <w:rPr>
          <w:color w:val="C00000"/>
        </w:rPr>
      </w:pPr>
      <w:r>
        <w:rPr>
          <w:color w:val="C00000"/>
        </w:rPr>
        <w:t>Fulton County Public Health Home Visiting Program</w:t>
      </w:r>
    </w:p>
    <w:p w:rsidR="001670EC" w:rsidRPr="00432831" w:rsidRDefault="001670EC" w:rsidP="00432831">
      <w:pPr>
        <w:numPr>
          <w:ilvl w:val="0"/>
          <w:numId w:val="38"/>
        </w:numPr>
        <w:contextualSpacing/>
        <w:rPr>
          <w:color w:val="C00000"/>
        </w:rPr>
      </w:pPr>
      <w:r w:rsidRPr="00432831">
        <w:rPr>
          <w:color w:val="C00000"/>
        </w:rPr>
        <w:t>Nathan Littauer Primary Care Clinic System</w:t>
      </w:r>
    </w:p>
    <w:p w:rsidR="001670EC" w:rsidRDefault="001670EC" w:rsidP="00432831">
      <w:pPr>
        <w:numPr>
          <w:ilvl w:val="0"/>
          <w:numId w:val="38"/>
        </w:numPr>
        <w:contextualSpacing/>
        <w:rPr>
          <w:color w:val="C00000"/>
        </w:rPr>
      </w:pPr>
      <w:r>
        <w:rPr>
          <w:color w:val="C00000"/>
        </w:rPr>
        <w:t>Nathan Littauer Navigator Program</w:t>
      </w:r>
    </w:p>
    <w:p w:rsidR="001670EC" w:rsidRDefault="001670EC" w:rsidP="00432831">
      <w:pPr>
        <w:numPr>
          <w:ilvl w:val="0"/>
          <w:numId w:val="38"/>
        </w:numPr>
        <w:contextualSpacing/>
        <w:rPr>
          <w:color w:val="C00000"/>
        </w:rPr>
      </w:pPr>
      <w:r>
        <w:rPr>
          <w:color w:val="C00000"/>
        </w:rPr>
        <w:t>WIC</w:t>
      </w:r>
    </w:p>
    <w:p w:rsidR="001670EC" w:rsidRDefault="001670EC" w:rsidP="00432831">
      <w:pPr>
        <w:numPr>
          <w:ilvl w:val="0"/>
          <w:numId w:val="38"/>
        </w:numPr>
        <w:contextualSpacing/>
        <w:rPr>
          <w:color w:val="C00000"/>
        </w:rPr>
      </w:pPr>
      <w:r>
        <w:rPr>
          <w:color w:val="C00000"/>
        </w:rPr>
        <w:t>Fulton County Social Services</w:t>
      </w:r>
    </w:p>
    <w:p w:rsidR="001670EC" w:rsidRDefault="001670EC" w:rsidP="00432831">
      <w:pPr>
        <w:numPr>
          <w:ilvl w:val="0"/>
          <w:numId w:val="38"/>
        </w:numPr>
        <w:contextualSpacing/>
        <w:rPr>
          <w:color w:val="C00000"/>
        </w:rPr>
      </w:pPr>
      <w:r>
        <w:rPr>
          <w:color w:val="C00000"/>
        </w:rPr>
        <w:t>Hamilton Fulton Montgomery BOCES</w:t>
      </w:r>
    </w:p>
    <w:p w:rsidR="001670EC" w:rsidRPr="00432831" w:rsidRDefault="001670EC" w:rsidP="00432831">
      <w:pPr>
        <w:numPr>
          <w:ilvl w:val="0"/>
          <w:numId w:val="38"/>
        </w:numPr>
        <w:contextualSpacing/>
        <w:rPr>
          <w:color w:val="C00000"/>
        </w:rPr>
      </w:pPr>
      <w:r>
        <w:rPr>
          <w:color w:val="C00000"/>
        </w:rPr>
        <w:t>Family Counseling Center</w:t>
      </w:r>
    </w:p>
    <w:p w:rsidR="001670EC" w:rsidRPr="002441F4" w:rsidRDefault="001670EC" w:rsidP="00555AB5">
      <w:pPr>
        <w:contextualSpacing/>
      </w:pPr>
      <w:r w:rsidRPr="002441F4">
        <w:br w:type="page"/>
      </w:r>
    </w:p>
    <w:p w:rsidR="001670EC" w:rsidRPr="00430AB7" w:rsidRDefault="001670EC" w:rsidP="008E5823">
      <w:pPr>
        <w:pStyle w:val="Heading1"/>
        <w:jc w:val="center"/>
        <w:rPr>
          <w:color w:val="C00000"/>
          <w:sz w:val="24"/>
          <w:szCs w:val="24"/>
        </w:rPr>
      </w:pPr>
      <w:bookmarkStart w:id="10" w:name="_Toc355250951"/>
      <w:r>
        <w:t>Figures and Tables</w:t>
      </w:r>
      <w:bookmarkEnd w:id="10"/>
      <w:r>
        <w:t xml:space="preserve"> </w:t>
      </w:r>
    </w:p>
    <w:p w:rsidR="001670EC" w:rsidRPr="00C334DC" w:rsidRDefault="001670EC" w:rsidP="00C334DC">
      <w:pPr>
        <w:pStyle w:val="Heading2"/>
        <w:rPr>
          <w:color w:val="C00000"/>
          <w:sz w:val="24"/>
          <w:szCs w:val="24"/>
        </w:rPr>
      </w:pPr>
      <w:bookmarkStart w:id="11" w:name="_Toc355250952"/>
      <w:r w:rsidRPr="005E1916">
        <w:t>Figure 1</w:t>
      </w:r>
      <w:r>
        <w:t>:  Map</w:t>
      </w:r>
      <w:r w:rsidRPr="005E1916">
        <w:t xml:space="preserve"> of </w:t>
      </w:r>
      <w:bookmarkEnd w:id="11"/>
      <w:r>
        <w:t xml:space="preserve">Fulton </w:t>
      </w:r>
      <w:r w:rsidRPr="005E1916">
        <w:t>County</w:t>
      </w:r>
    </w:p>
    <w:p w:rsidR="001670EC" w:rsidRDefault="00B240D8" w:rsidP="00D37D7D">
      <w:pPr>
        <w:jc w:val="center"/>
      </w:pPr>
      <w:r>
        <w:rPr>
          <w:rFonts w:ascii="Tahoma" w:hAnsi="Tahoma" w:cs="Tahoma"/>
          <w:noProof/>
          <w:sz w:val="20"/>
        </w:rPr>
        <w:drawing>
          <wp:inline distT="0" distB="0" distL="0" distR="0">
            <wp:extent cx="4996815" cy="3515995"/>
            <wp:effectExtent l="19050" t="0" r="0" b="0"/>
            <wp:docPr id="2" name="Picture 5" descr="fulton_fulcowebmk22312304416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ton_fulcowebmk223123044160632"/>
                    <pic:cNvPicPr>
                      <a:picLocks noChangeAspect="1" noChangeArrowheads="1"/>
                    </pic:cNvPicPr>
                  </pic:nvPicPr>
                  <pic:blipFill>
                    <a:blip r:embed="rId10"/>
                    <a:srcRect/>
                    <a:stretch>
                      <a:fillRect/>
                    </a:stretch>
                  </pic:blipFill>
                  <pic:spPr bwMode="auto">
                    <a:xfrm>
                      <a:off x="0" y="0"/>
                      <a:ext cx="4996815" cy="3515995"/>
                    </a:xfrm>
                    <a:prstGeom prst="rect">
                      <a:avLst/>
                    </a:prstGeom>
                    <a:noFill/>
                    <a:ln w="9525">
                      <a:noFill/>
                      <a:miter lim="800000"/>
                      <a:headEnd/>
                      <a:tailEnd/>
                    </a:ln>
                  </pic:spPr>
                </pic:pic>
              </a:graphicData>
            </a:graphic>
          </wp:inline>
        </w:drawing>
      </w:r>
      <w:bookmarkStart w:id="12" w:name="_Toc355250954"/>
    </w:p>
    <w:p w:rsidR="001670EC" w:rsidRDefault="001670EC" w:rsidP="00D37D7D">
      <w:pPr>
        <w:jc w:val="center"/>
      </w:pPr>
    </w:p>
    <w:p w:rsidR="001670EC" w:rsidRDefault="001670EC" w:rsidP="005E1916">
      <w:pPr>
        <w:pStyle w:val="Heading2"/>
      </w:pPr>
      <w:r w:rsidRPr="00F135BF">
        <w:t xml:space="preserve">Figure </w:t>
      </w:r>
      <w:r>
        <w:t>2a</w:t>
      </w:r>
      <w:r w:rsidRPr="00F135BF">
        <w:t xml:space="preserve">:  2011 Hospital Discharges </w:t>
      </w:r>
      <w:r>
        <w:t xml:space="preserve">by Facility </w:t>
      </w:r>
      <w:bookmarkEnd w:id="12"/>
    </w:p>
    <w:p w:rsidR="001670EC" w:rsidRDefault="001670EC" w:rsidP="009339AF"/>
    <w:p w:rsidR="001670EC" w:rsidRDefault="00B240D8" w:rsidP="0016467B">
      <w:pPr>
        <w:jc w:val="center"/>
      </w:pPr>
      <w:r>
        <w:rPr>
          <w:noProof/>
        </w:rPr>
        <w:drawing>
          <wp:inline distT="0" distB="0" distL="0" distR="0">
            <wp:extent cx="4477877" cy="2747892"/>
            <wp:effectExtent l="11949" t="6103" r="5974" b="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70EC" w:rsidRDefault="001670EC" w:rsidP="00C334DC">
      <w:pPr>
        <w:pStyle w:val="Heading2"/>
      </w:pPr>
      <w:r w:rsidRPr="00F135BF">
        <w:t xml:space="preserve">Figure </w:t>
      </w:r>
      <w:r>
        <w:t>2b</w:t>
      </w:r>
      <w:r w:rsidRPr="00F135BF">
        <w:t xml:space="preserve">:  2011 </w:t>
      </w:r>
      <w:r>
        <w:t xml:space="preserve">Nathan Littauer </w:t>
      </w:r>
      <w:r w:rsidRPr="00F135BF">
        <w:t xml:space="preserve">Hospital </w:t>
      </w:r>
      <w:r>
        <w:t>discharges by County of Residence</w:t>
      </w:r>
    </w:p>
    <w:p w:rsidR="001670EC" w:rsidRDefault="001670EC" w:rsidP="009339AF"/>
    <w:p w:rsidR="001670EC" w:rsidRPr="009339AF" w:rsidRDefault="00B240D8" w:rsidP="0016467B">
      <w:pPr>
        <w:jc w:val="center"/>
      </w:pPr>
      <w:r>
        <w:rPr>
          <w:noProof/>
        </w:rPr>
        <w:drawing>
          <wp:inline distT="0" distB="0" distL="0" distR="0">
            <wp:extent cx="4477877" cy="2747892"/>
            <wp:effectExtent l="11949" t="6103" r="5974" b="0"/>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70EC" w:rsidRDefault="001670EC" w:rsidP="0066347A">
      <w:pPr>
        <w:pStyle w:val="Heading2"/>
      </w:pPr>
      <w:bookmarkStart w:id="13" w:name="_Toc355250955"/>
    </w:p>
    <w:p w:rsidR="001670EC" w:rsidRDefault="001670EC" w:rsidP="0066347A">
      <w:pPr>
        <w:pStyle w:val="Heading2"/>
      </w:pPr>
    </w:p>
    <w:p w:rsidR="001670EC" w:rsidRDefault="001670EC" w:rsidP="0066347A">
      <w:pPr>
        <w:pStyle w:val="Heading2"/>
        <w:rPr>
          <w:noProof/>
        </w:rPr>
      </w:pPr>
      <w:r w:rsidRPr="007311D1">
        <w:t xml:space="preserve">Figure </w:t>
      </w:r>
      <w:r>
        <w:t>3a</w:t>
      </w:r>
      <w:r w:rsidRPr="007311D1">
        <w:t>:  Population Distribution by</w:t>
      </w:r>
      <w:r>
        <w:t xml:space="preserve"> age Fulton </w:t>
      </w:r>
      <w:r w:rsidRPr="007311D1">
        <w:t>County</w:t>
      </w:r>
      <w:bookmarkEnd w:id="13"/>
    </w:p>
    <w:p w:rsidR="001670EC" w:rsidRDefault="001670EC" w:rsidP="00AD1E68">
      <w:pPr>
        <w:rPr>
          <w:rFonts w:ascii="Cambria" w:hAnsi="Cambria"/>
          <w:b/>
          <w:color w:val="4F81BD"/>
          <w:sz w:val="26"/>
          <w:szCs w:val="26"/>
        </w:rPr>
      </w:pPr>
    </w:p>
    <w:p w:rsidR="001670EC" w:rsidRDefault="00B240D8" w:rsidP="0016467B">
      <w:pPr>
        <w:jc w:val="center"/>
        <w:rPr>
          <w:rFonts w:ascii="Cambria" w:hAnsi="Cambria"/>
          <w:b/>
          <w:color w:val="4F81BD"/>
          <w:sz w:val="26"/>
          <w:szCs w:val="26"/>
        </w:rPr>
      </w:pPr>
      <w:r>
        <w:rPr>
          <w:b/>
          <w:noProof/>
          <w:color w:val="365F91"/>
          <w:sz w:val="32"/>
          <w:szCs w:val="32"/>
        </w:rPr>
        <w:drawing>
          <wp:inline distT="0" distB="0" distL="0" distR="0">
            <wp:extent cx="4477877" cy="2747892"/>
            <wp:effectExtent l="11949" t="6103" r="5974" b="0"/>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70EC" w:rsidRDefault="001670EC" w:rsidP="00AD1E68">
      <w:pPr>
        <w:rPr>
          <w:rFonts w:ascii="Cambria" w:hAnsi="Cambria"/>
          <w:b/>
          <w:color w:val="4F81BD"/>
          <w:sz w:val="26"/>
          <w:szCs w:val="26"/>
        </w:rPr>
      </w:pPr>
    </w:p>
    <w:p w:rsidR="001670EC" w:rsidRDefault="001670EC" w:rsidP="00AD1E68">
      <w:pPr>
        <w:rPr>
          <w:rFonts w:ascii="Cambria" w:hAnsi="Cambria"/>
          <w:b/>
          <w:color w:val="4F81BD"/>
          <w:sz w:val="26"/>
          <w:szCs w:val="26"/>
        </w:rPr>
      </w:pPr>
    </w:p>
    <w:p w:rsidR="001670EC" w:rsidRDefault="001670EC" w:rsidP="00AD1E68">
      <w:pPr>
        <w:rPr>
          <w:rFonts w:ascii="Cambria" w:hAnsi="Cambria"/>
          <w:b/>
          <w:color w:val="4F81BD"/>
          <w:sz w:val="26"/>
          <w:szCs w:val="26"/>
        </w:rPr>
      </w:pPr>
      <w:r>
        <w:rPr>
          <w:rFonts w:ascii="Cambria" w:hAnsi="Cambria"/>
          <w:b/>
          <w:color w:val="4F81BD"/>
          <w:sz w:val="26"/>
          <w:szCs w:val="26"/>
        </w:rPr>
        <w:t>Figure 3b</w:t>
      </w:r>
      <w:r w:rsidRPr="00AD1E68">
        <w:rPr>
          <w:rFonts w:ascii="Cambria" w:hAnsi="Cambria"/>
          <w:b/>
          <w:color w:val="4F81BD"/>
          <w:sz w:val="26"/>
          <w:szCs w:val="26"/>
        </w:rPr>
        <w:t>:  Population Distribution by location Fulton County</w:t>
      </w:r>
      <w:r>
        <w:rPr>
          <w:rFonts w:ascii="Cambria" w:hAnsi="Cambria"/>
          <w:b/>
          <w:color w:val="4F81BD"/>
          <w:sz w:val="26"/>
          <w:szCs w:val="26"/>
        </w:rPr>
        <w:t xml:space="preserve"> 2010</w:t>
      </w:r>
    </w:p>
    <w:p w:rsidR="001670EC" w:rsidRDefault="00B240D8" w:rsidP="00AD1E68">
      <w:pPr>
        <w:rPr>
          <w:noProof/>
        </w:rPr>
      </w:pPr>
      <w:r>
        <w:rPr>
          <w:noProof/>
        </w:rPr>
        <w:drawing>
          <wp:inline distT="0" distB="0" distL="0" distR="0">
            <wp:extent cx="5943222" cy="3225160"/>
            <wp:effectExtent l="13519" t="6100" r="8449" b="1525"/>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70EC" w:rsidRPr="00AD1E68" w:rsidRDefault="001670EC" w:rsidP="00AD1E68">
      <w:pPr>
        <w:rPr>
          <w:rFonts w:ascii="Cambria" w:hAnsi="Cambria"/>
          <w:b/>
          <w:color w:val="4F81BD"/>
          <w:sz w:val="26"/>
          <w:szCs w:val="26"/>
        </w:rPr>
      </w:pPr>
    </w:p>
    <w:p w:rsidR="001670EC" w:rsidRDefault="001670EC" w:rsidP="005E1916">
      <w:pPr>
        <w:pStyle w:val="Heading2"/>
      </w:pPr>
      <w:bookmarkStart w:id="14" w:name="_Toc355250956"/>
      <w:r>
        <w:t>Figure 4</w:t>
      </w:r>
      <w:r w:rsidRPr="007311D1">
        <w:t xml:space="preserve">:  Population Distribution by </w:t>
      </w:r>
      <w:r>
        <w:t>Race, Fulton County, 201</w:t>
      </w:r>
      <w:bookmarkEnd w:id="14"/>
      <w:r>
        <w:t>0</w:t>
      </w:r>
    </w:p>
    <w:p w:rsidR="001670EC" w:rsidRDefault="00B240D8" w:rsidP="003D179B">
      <w:r>
        <w:rPr>
          <w:noProof/>
        </w:rPr>
        <w:drawing>
          <wp:inline distT="0" distB="0" distL="0" distR="0">
            <wp:extent cx="6036338" cy="3377629"/>
            <wp:effectExtent l="12074" t="6045" r="3773" b="1511"/>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70EC" w:rsidRDefault="001670EC" w:rsidP="003D179B">
      <w:pPr>
        <w:rPr>
          <w:rFonts w:ascii="Tahoma" w:hAnsi="Tahoma" w:cs="Tahoma"/>
          <w:sz w:val="20"/>
        </w:rPr>
      </w:pPr>
    </w:p>
    <w:p w:rsidR="001670EC" w:rsidRPr="003D179B" w:rsidRDefault="001670EC" w:rsidP="003D179B"/>
    <w:p w:rsidR="001670EC" w:rsidRDefault="001670EC" w:rsidP="005E1916">
      <w:pPr>
        <w:pStyle w:val="Heading2"/>
      </w:pPr>
      <w:bookmarkStart w:id="15" w:name="_Toc355250958"/>
      <w:r w:rsidRPr="00CB536D">
        <w:t xml:space="preserve">Figure </w:t>
      </w:r>
      <w:r>
        <w:t>5</w:t>
      </w:r>
      <w:r w:rsidRPr="00CB536D">
        <w:t xml:space="preserve">:  </w:t>
      </w:r>
      <w:r>
        <w:t xml:space="preserve">Poverty and Medicaid Status Fulton </w:t>
      </w:r>
      <w:r w:rsidRPr="00CB536D">
        <w:t xml:space="preserve">County, 2010 </w:t>
      </w:r>
      <w:r>
        <w:t>–</w:t>
      </w:r>
      <w:r w:rsidRPr="00CB536D">
        <w:t xml:space="preserve"> 2011</w:t>
      </w:r>
      <w:bookmarkEnd w:id="15"/>
    </w:p>
    <w:p w:rsidR="001670EC" w:rsidRPr="00003C6D" w:rsidRDefault="00B240D8" w:rsidP="0016467B">
      <w:pPr>
        <w:jc w:val="center"/>
      </w:pPr>
      <w:r>
        <w:rPr>
          <w:noProof/>
        </w:rPr>
        <w:drawing>
          <wp:inline distT="0" distB="0" distL="0" distR="0">
            <wp:extent cx="4477877" cy="2747892"/>
            <wp:effectExtent l="11949" t="6103" r="5974" b="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70EC" w:rsidRDefault="001670EC" w:rsidP="005E1916">
      <w:pPr>
        <w:pStyle w:val="Heading2"/>
      </w:pPr>
      <w:bookmarkStart w:id="16" w:name="_Toc355250959"/>
      <w:r w:rsidRPr="00E347DE">
        <w:t xml:space="preserve">Figure </w:t>
      </w:r>
      <w:r>
        <w:t>6</w:t>
      </w:r>
      <w:r w:rsidRPr="00E347DE">
        <w:t xml:space="preserve">: Population Characteristics, </w:t>
      </w:r>
      <w:r>
        <w:t xml:space="preserve">Fulton </w:t>
      </w:r>
      <w:r w:rsidRPr="00E347DE">
        <w:t xml:space="preserve">County, </w:t>
      </w:r>
      <w:r>
        <w:t xml:space="preserve">Montgomery County, ARHN and </w:t>
      </w:r>
      <w:r w:rsidRPr="00E347DE">
        <w:t xml:space="preserve">New York State </w:t>
      </w:r>
      <w:bookmarkEnd w:id="16"/>
    </w:p>
    <w:tbl>
      <w:tblPr>
        <w:tblpPr w:leftFromText="180" w:rightFromText="180" w:vertAnchor="text" w:horzAnchor="margin" w:tblpY="104"/>
        <w:tblW w:w="9780" w:type="dxa"/>
        <w:tblLayout w:type="fixed"/>
        <w:tblCellMar>
          <w:left w:w="0" w:type="dxa"/>
          <w:right w:w="0" w:type="dxa"/>
        </w:tblCellMar>
        <w:tblLook w:val="00A0"/>
      </w:tblPr>
      <w:tblGrid>
        <w:gridCol w:w="4436"/>
        <w:gridCol w:w="940"/>
        <w:gridCol w:w="1968"/>
        <w:gridCol w:w="1170"/>
        <w:gridCol w:w="1266"/>
      </w:tblGrid>
      <w:tr w:rsidR="001670EC" w:rsidRPr="0001670C" w:rsidTr="002C276D">
        <w:trPr>
          <w:trHeight w:val="381"/>
        </w:trPr>
        <w:tc>
          <w:tcPr>
            <w:tcW w:w="44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Demographic Indicators </w:t>
            </w:r>
          </w:p>
          <w:p w:rsidR="001670EC" w:rsidRPr="0001670C" w:rsidRDefault="001670EC" w:rsidP="002C276D">
            <w:pPr>
              <w:ind w:firstLine="720"/>
              <w:rPr>
                <w:rFonts w:ascii="Arial" w:hAnsi="Arial" w:cs="Arial"/>
              </w:rPr>
            </w:pPr>
          </w:p>
        </w:tc>
        <w:tc>
          <w:tcPr>
            <w:tcW w:w="9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b/>
                <w:bCs/>
                <w:color w:val="FFFFFF"/>
                <w:kern w:val="24"/>
              </w:rPr>
              <w:t>Fulton</w:t>
            </w:r>
          </w:p>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County </w:t>
            </w:r>
          </w:p>
        </w:tc>
        <w:tc>
          <w:tcPr>
            <w:tcW w:w="19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Montgomery County </w:t>
            </w:r>
          </w:p>
        </w:tc>
        <w:tc>
          <w:tcPr>
            <w:tcW w:w="11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ARHN </w:t>
            </w:r>
          </w:p>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Counties </w:t>
            </w:r>
          </w:p>
        </w:tc>
        <w:tc>
          <w:tcPr>
            <w:tcW w:w="12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Upstate </w:t>
            </w:r>
          </w:p>
          <w:p w:rsidR="001670EC" w:rsidRPr="0001670C" w:rsidRDefault="001670EC" w:rsidP="002C276D">
            <w:pPr>
              <w:spacing w:after="0" w:line="240" w:lineRule="auto"/>
              <w:jc w:val="center"/>
              <w:rPr>
                <w:rFonts w:ascii="Arial" w:hAnsi="Arial" w:cs="Arial"/>
              </w:rPr>
            </w:pPr>
            <w:r w:rsidRPr="0001670C">
              <w:rPr>
                <w:rFonts w:cs="Arial"/>
                <w:b/>
                <w:bCs/>
                <w:color w:val="FFFFFF"/>
                <w:kern w:val="24"/>
              </w:rPr>
              <w:t xml:space="preserve">New York </w:t>
            </w:r>
          </w:p>
        </w:tc>
      </w:tr>
      <w:tr w:rsidR="001670EC" w:rsidRPr="0001670C" w:rsidTr="002C276D">
        <w:trPr>
          <w:trHeight w:val="153"/>
        </w:trPr>
        <w:tc>
          <w:tcPr>
            <w:tcW w:w="9780" w:type="dxa"/>
            <w:gridSpan w:val="5"/>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b/>
                <w:bCs/>
                <w:color w:val="000000"/>
                <w:kern w:val="24"/>
              </w:rPr>
              <w:t>Race and Age</w:t>
            </w:r>
          </w:p>
        </w:tc>
      </w:tr>
      <w:tr w:rsidR="001670EC" w:rsidRPr="0001670C" w:rsidTr="002C276D">
        <w:trPr>
          <w:trHeight w:val="266"/>
        </w:trPr>
        <w:tc>
          <w:tcPr>
            <w:tcW w:w="4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of population, White, non-Hispanic</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94.0% </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85.4%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92.0% </w:t>
            </w: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77.0% </w:t>
            </w:r>
          </w:p>
        </w:tc>
      </w:tr>
      <w:tr w:rsidR="001670EC" w:rsidRPr="0001670C" w:rsidTr="002C276D">
        <w:trPr>
          <w:trHeight w:val="153"/>
        </w:trPr>
        <w:tc>
          <w:tcPr>
            <w:tcW w:w="4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Hispanic/Latino </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2.4% </w:t>
            </w:r>
          </w:p>
        </w:tc>
        <w:tc>
          <w:tcPr>
            <w:tcW w:w="19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10.9%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2.4% </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9.4% </w:t>
            </w:r>
          </w:p>
        </w:tc>
      </w:tr>
      <w:tr w:rsidR="001670EC" w:rsidRPr="0001670C" w:rsidTr="002C276D">
        <w:trPr>
          <w:trHeight w:val="266"/>
        </w:trPr>
        <w:tc>
          <w:tcPr>
            <w:tcW w:w="4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of population ages 65 and older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15.9% </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16.7%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14.6% </w:t>
            </w: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14.4% </w:t>
            </w:r>
          </w:p>
        </w:tc>
      </w:tr>
      <w:tr w:rsidR="001670EC" w:rsidRPr="0001670C" w:rsidTr="002C276D">
        <w:trPr>
          <w:trHeight w:val="153"/>
        </w:trPr>
        <w:tc>
          <w:tcPr>
            <w:tcW w:w="4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of population 17 or younger </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22.4% </w:t>
            </w:r>
          </w:p>
        </w:tc>
        <w:tc>
          <w:tcPr>
            <w:tcW w:w="19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23.5%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21.5% </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23.0% </w:t>
            </w:r>
          </w:p>
        </w:tc>
      </w:tr>
      <w:tr w:rsidR="001670EC" w:rsidRPr="0001670C" w:rsidTr="002C276D">
        <w:trPr>
          <w:trHeight w:val="266"/>
        </w:trPr>
        <w:tc>
          <w:tcPr>
            <w:tcW w:w="4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of population females, 15 – 44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17.9% </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18.3%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18.3% </w:t>
            </w: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19.2% </w:t>
            </w:r>
          </w:p>
        </w:tc>
      </w:tr>
      <w:tr w:rsidR="001670EC" w:rsidRPr="0001670C" w:rsidTr="002C276D">
        <w:trPr>
          <w:trHeight w:val="153"/>
        </w:trPr>
        <w:tc>
          <w:tcPr>
            <w:tcW w:w="9780" w:type="dxa"/>
            <w:gridSpan w:val="5"/>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b/>
                <w:bCs/>
                <w:color w:val="000000"/>
                <w:kern w:val="24"/>
              </w:rPr>
              <w:t xml:space="preserve">Poverty </w:t>
            </w:r>
          </w:p>
        </w:tc>
      </w:tr>
      <w:tr w:rsidR="001670EC" w:rsidRPr="0001670C" w:rsidTr="002C276D">
        <w:trPr>
          <w:trHeight w:val="266"/>
        </w:trPr>
        <w:tc>
          <w:tcPr>
            <w:tcW w:w="44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of population under federal poverty level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16.5% </w:t>
            </w:r>
          </w:p>
        </w:tc>
        <w:tc>
          <w:tcPr>
            <w:tcW w:w="19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16.3%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10.9% </w:t>
            </w:r>
          </w:p>
        </w:tc>
        <w:tc>
          <w:tcPr>
            <w:tcW w:w="12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10.9% </w:t>
            </w:r>
          </w:p>
        </w:tc>
      </w:tr>
      <w:tr w:rsidR="001670EC" w:rsidRPr="0001670C" w:rsidTr="002C276D">
        <w:trPr>
          <w:trHeight w:val="266"/>
        </w:trPr>
        <w:tc>
          <w:tcPr>
            <w:tcW w:w="44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of population who received Medicaid services </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25.0% </w:t>
            </w:r>
          </w:p>
        </w:tc>
        <w:tc>
          <w:tcPr>
            <w:tcW w:w="19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25.9%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15.9% </w:t>
            </w:r>
          </w:p>
        </w:tc>
        <w:tc>
          <w:tcPr>
            <w:tcW w:w="126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16.3% </w:t>
            </w:r>
          </w:p>
        </w:tc>
      </w:tr>
      <w:tr w:rsidR="001670EC" w:rsidRPr="0001670C" w:rsidTr="002C276D">
        <w:trPr>
          <w:trHeight w:val="266"/>
        </w:trPr>
        <w:tc>
          <w:tcPr>
            <w:tcW w:w="4436" w:type="dxa"/>
            <w:tcBorders>
              <w:top w:val="single" w:sz="8" w:space="0" w:color="FFFFFF"/>
              <w:left w:val="single" w:sz="8" w:space="0" w:color="FFFFFF"/>
              <w:bottom w:val="single" w:sz="24"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rPr>
                <w:rFonts w:ascii="Arial" w:hAnsi="Arial" w:cs="Arial"/>
              </w:rPr>
            </w:pPr>
            <w:r w:rsidRPr="0001670C">
              <w:rPr>
                <w:rFonts w:cs="Arial"/>
                <w:color w:val="000000"/>
                <w:kern w:val="24"/>
              </w:rPr>
              <w:t xml:space="preserve">% of students on free or reduced lunch </w:t>
            </w:r>
          </w:p>
        </w:tc>
        <w:tc>
          <w:tcPr>
            <w:tcW w:w="940" w:type="dxa"/>
            <w:tcBorders>
              <w:top w:val="single" w:sz="8" w:space="0" w:color="FFFFFF"/>
              <w:left w:val="single" w:sz="8" w:space="0" w:color="FFFFFF"/>
              <w:bottom w:val="single" w:sz="24"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43.3% </w:t>
            </w:r>
          </w:p>
        </w:tc>
        <w:tc>
          <w:tcPr>
            <w:tcW w:w="1968" w:type="dxa"/>
            <w:tcBorders>
              <w:top w:val="single" w:sz="8" w:space="0" w:color="FFFFFF"/>
              <w:left w:val="single" w:sz="8" w:space="0" w:color="FFFFFF"/>
              <w:bottom w:val="single" w:sz="24"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39.4% </w:t>
            </w:r>
          </w:p>
        </w:tc>
        <w:tc>
          <w:tcPr>
            <w:tcW w:w="1170" w:type="dxa"/>
            <w:tcBorders>
              <w:top w:val="single" w:sz="8" w:space="0" w:color="FFFFFF"/>
              <w:left w:val="single" w:sz="8" w:space="0" w:color="FFFFFF"/>
              <w:bottom w:val="single" w:sz="24"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29.3% </w:t>
            </w:r>
          </w:p>
        </w:tc>
        <w:tc>
          <w:tcPr>
            <w:tcW w:w="1266" w:type="dxa"/>
            <w:tcBorders>
              <w:top w:val="single" w:sz="8" w:space="0" w:color="FFFFFF"/>
              <w:left w:val="single" w:sz="8" w:space="0" w:color="FFFFFF"/>
              <w:bottom w:val="single" w:sz="24" w:space="0" w:color="FFFFFF"/>
              <w:right w:val="single" w:sz="8" w:space="0" w:color="FFFFFF"/>
            </w:tcBorders>
            <w:shd w:val="clear" w:color="auto" w:fill="E9EDF4"/>
            <w:tcMar>
              <w:top w:w="72" w:type="dxa"/>
              <w:left w:w="144" w:type="dxa"/>
              <w:bottom w:w="72" w:type="dxa"/>
              <w:right w:w="144" w:type="dxa"/>
            </w:tcMar>
          </w:tcPr>
          <w:p w:rsidR="001670EC" w:rsidRPr="0001670C" w:rsidRDefault="001670EC" w:rsidP="002C276D">
            <w:pPr>
              <w:spacing w:after="0" w:line="240" w:lineRule="auto"/>
              <w:jc w:val="center"/>
              <w:rPr>
                <w:rFonts w:ascii="Arial" w:hAnsi="Arial" w:cs="Arial"/>
              </w:rPr>
            </w:pPr>
            <w:r w:rsidRPr="0001670C">
              <w:rPr>
                <w:rFonts w:cs="Arial"/>
                <w:color w:val="000000"/>
                <w:kern w:val="24"/>
              </w:rPr>
              <w:t xml:space="preserve">31.6% </w:t>
            </w:r>
          </w:p>
        </w:tc>
      </w:tr>
    </w:tbl>
    <w:p w:rsidR="001670EC" w:rsidRDefault="001670EC" w:rsidP="009B5ADB"/>
    <w:p w:rsidR="001670EC" w:rsidRDefault="001670EC" w:rsidP="009B5ADB"/>
    <w:p w:rsidR="001670EC" w:rsidRDefault="001670EC" w:rsidP="009B5ADB"/>
    <w:p w:rsidR="001670EC" w:rsidRPr="009B5ADB" w:rsidRDefault="001670EC" w:rsidP="009B5ADB"/>
    <w:tbl>
      <w:tblPr>
        <w:tblW w:w="9840" w:type="dxa"/>
        <w:tblCellMar>
          <w:left w:w="0" w:type="dxa"/>
          <w:right w:w="0" w:type="dxa"/>
        </w:tblCellMar>
        <w:tblLook w:val="00A0"/>
      </w:tblPr>
      <w:tblGrid>
        <w:gridCol w:w="4343"/>
        <w:gridCol w:w="881"/>
        <w:gridCol w:w="1994"/>
        <w:gridCol w:w="1386"/>
        <w:gridCol w:w="1236"/>
      </w:tblGrid>
      <w:tr w:rsidR="001670EC" w:rsidRPr="002C276D" w:rsidTr="002C276D">
        <w:trPr>
          <w:trHeight w:val="234"/>
        </w:trPr>
        <w:tc>
          <w:tcPr>
            <w:tcW w:w="0" w:type="auto"/>
            <w:tcBorders>
              <w:top w:val="single" w:sz="24" w:space="0" w:color="FFFFFF"/>
              <w:left w:val="single" w:sz="8" w:space="0" w:color="FFFFFF"/>
              <w:bottom w:val="single" w:sz="24" w:space="0" w:color="FFFFFF"/>
              <w:right w:val="single" w:sz="8" w:space="0" w:color="FFFFFF"/>
            </w:tcBorders>
            <w:shd w:val="clear" w:color="auto" w:fill="365F91"/>
            <w:tcMar>
              <w:top w:w="72" w:type="dxa"/>
              <w:left w:w="144" w:type="dxa"/>
              <w:bottom w:w="72" w:type="dxa"/>
              <w:right w:w="144" w:type="dxa"/>
            </w:tcMar>
          </w:tcPr>
          <w:p w:rsidR="001670EC" w:rsidRPr="002C276D" w:rsidRDefault="001670EC" w:rsidP="002C276D">
            <w:pPr>
              <w:spacing w:after="0" w:line="240" w:lineRule="auto"/>
              <w:rPr>
                <w:rFonts w:cs="Arial"/>
                <w:b/>
                <w:color w:val="FFFFFF"/>
                <w:kern w:val="24"/>
                <w:sz w:val="20"/>
                <w:szCs w:val="20"/>
              </w:rPr>
            </w:pPr>
            <w:r w:rsidRPr="002C276D">
              <w:rPr>
                <w:rFonts w:cs="Arial"/>
                <w:b/>
                <w:color w:val="FFFFFF"/>
                <w:kern w:val="24"/>
                <w:sz w:val="20"/>
                <w:szCs w:val="20"/>
              </w:rPr>
              <w:t>Employment</w:t>
            </w:r>
          </w:p>
        </w:tc>
        <w:tc>
          <w:tcPr>
            <w:tcW w:w="0" w:type="auto"/>
            <w:tcBorders>
              <w:top w:val="single" w:sz="24" w:space="0" w:color="FFFFFF"/>
              <w:left w:val="single" w:sz="8" w:space="0" w:color="FFFFFF"/>
              <w:bottom w:val="single" w:sz="24" w:space="0" w:color="FFFFFF"/>
              <w:right w:val="single" w:sz="8" w:space="0" w:color="FFFFFF"/>
            </w:tcBorders>
            <w:shd w:val="clear" w:color="auto" w:fill="365F91"/>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color w:val="FFFFFF"/>
                <w:sz w:val="20"/>
                <w:szCs w:val="20"/>
              </w:rPr>
            </w:pPr>
            <w:r w:rsidRPr="002C276D">
              <w:rPr>
                <w:rFonts w:cs="Arial"/>
                <w:b/>
                <w:bCs/>
                <w:color w:val="FFFFFF"/>
                <w:kern w:val="24"/>
                <w:sz w:val="20"/>
                <w:szCs w:val="20"/>
              </w:rPr>
              <w:t>Fulton</w:t>
            </w:r>
          </w:p>
          <w:p w:rsidR="001670EC" w:rsidRPr="002C276D" w:rsidRDefault="001670EC" w:rsidP="002C276D">
            <w:pPr>
              <w:spacing w:after="0" w:line="240" w:lineRule="auto"/>
              <w:jc w:val="center"/>
              <w:rPr>
                <w:rFonts w:cs="Arial"/>
                <w:color w:val="FFFFFF"/>
                <w:kern w:val="24"/>
                <w:sz w:val="20"/>
                <w:szCs w:val="20"/>
              </w:rPr>
            </w:pPr>
            <w:r w:rsidRPr="002C276D">
              <w:rPr>
                <w:rFonts w:cs="Arial"/>
                <w:b/>
                <w:bCs/>
                <w:color w:val="FFFFFF"/>
                <w:kern w:val="24"/>
                <w:sz w:val="20"/>
                <w:szCs w:val="20"/>
              </w:rPr>
              <w:t>County</w:t>
            </w:r>
          </w:p>
        </w:tc>
        <w:tc>
          <w:tcPr>
            <w:tcW w:w="0" w:type="auto"/>
            <w:tcBorders>
              <w:top w:val="single" w:sz="24" w:space="0" w:color="FFFFFF"/>
              <w:left w:val="single" w:sz="8" w:space="0" w:color="FFFFFF"/>
              <w:bottom w:val="single" w:sz="24" w:space="0" w:color="FFFFFF"/>
              <w:right w:val="single" w:sz="8" w:space="0" w:color="FFFFFF"/>
            </w:tcBorders>
            <w:shd w:val="clear" w:color="auto" w:fill="365F91"/>
            <w:tcMar>
              <w:top w:w="72" w:type="dxa"/>
              <w:left w:w="144" w:type="dxa"/>
              <w:bottom w:w="72" w:type="dxa"/>
              <w:right w:w="144" w:type="dxa"/>
            </w:tcMar>
          </w:tcPr>
          <w:p w:rsidR="001670EC" w:rsidRPr="002C276D" w:rsidRDefault="001670EC" w:rsidP="002C276D">
            <w:pPr>
              <w:spacing w:after="0" w:line="240" w:lineRule="auto"/>
              <w:jc w:val="center"/>
              <w:rPr>
                <w:rFonts w:cs="Arial"/>
                <w:color w:val="FFFFFF"/>
                <w:kern w:val="24"/>
                <w:sz w:val="20"/>
                <w:szCs w:val="20"/>
              </w:rPr>
            </w:pPr>
            <w:r w:rsidRPr="002C276D">
              <w:rPr>
                <w:rFonts w:cs="Arial"/>
                <w:b/>
                <w:bCs/>
                <w:color w:val="FFFFFF"/>
                <w:kern w:val="24"/>
                <w:sz w:val="20"/>
                <w:szCs w:val="20"/>
              </w:rPr>
              <w:t>Montgomery County</w:t>
            </w:r>
          </w:p>
        </w:tc>
        <w:tc>
          <w:tcPr>
            <w:tcW w:w="1386" w:type="dxa"/>
            <w:tcBorders>
              <w:top w:val="single" w:sz="24" w:space="0" w:color="FFFFFF"/>
              <w:left w:val="single" w:sz="8" w:space="0" w:color="FFFFFF"/>
              <w:bottom w:val="single" w:sz="24" w:space="0" w:color="FFFFFF"/>
              <w:right w:val="single" w:sz="8" w:space="0" w:color="FFFFFF"/>
            </w:tcBorders>
            <w:shd w:val="clear" w:color="auto" w:fill="365F91"/>
            <w:tcMar>
              <w:top w:w="72" w:type="dxa"/>
              <w:left w:w="144" w:type="dxa"/>
              <w:bottom w:w="72" w:type="dxa"/>
              <w:right w:w="144" w:type="dxa"/>
            </w:tcMar>
          </w:tcPr>
          <w:p w:rsidR="001670EC" w:rsidRPr="002C276D" w:rsidRDefault="001670EC" w:rsidP="002C276D">
            <w:pPr>
              <w:spacing w:after="0" w:line="240" w:lineRule="auto"/>
              <w:rPr>
                <w:rFonts w:cs="Arial"/>
                <w:color w:val="FFFFFF"/>
                <w:kern w:val="24"/>
                <w:sz w:val="20"/>
                <w:szCs w:val="20"/>
              </w:rPr>
            </w:pPr>
            <w:r w:rsidRPr="002C276D">
              <w:rPr>
                <w:rFonts w:cs="Arial"/>
                <w:b/>
                <w:bCs/>
                <w:color w:val="FFFFFF"/>
                <w:kern w:val="24"/>
                <w:sz w:val="20"/>
                <w:szCs w:val="20"/>
              </w:rPr>
              <w:t>ARHN Counties</w:t>
            </w:r>
          </w:p>
        </w:tc>
        <w:tc>
          <w:tcPr>
            <w:tcW w:w="1236" w:type="dxa"/>
            <w:tcBorders>
              <w:top w:val="single" w:sz="24" w:space="0" w:color="FFFFFF"/>
              <w:left w:val="single" w:sz="8" w:space="0" w:color="FFFFFF"/>
              <w:bottom w:val="single" w:sz="24" w:space="0" w:color="FFFFFF"/>
              <w:right w:val="single" w:sz="8" w:space="0" w:color="FFFFFF"/>
            </w:tcBorders>
            <w:shd w:val="clear" w:color="auto" w:fill="365F91"/>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color w:val="FFFFFF"/>
                <w:sz w:val="20"/>
                <w:szCs w:val="20"/>
              </w:rPr>
            </w:pPr>
            <w:r w:rsidRPr="002C276D">
              <w:rPr>
                <w:rFonts w:cs="Arial"/>
                <w:b/>
                <w:bCs/>
                <w:color w:val="FFFFFF"/>
                <w:kern w:val="24"/>
                <w:sz w:val="20"/>
                <w:szCs w:val="20"/>
              </w:rPr>
              <w:t xml:space="preserve">Upstate </w:t>
            </w:r>
          </w:p>
          <w:p w:rsidR="001670EC" w:rsidRPr="002C276D" w:rsidRDefault="001670EC" w:rsidP="002C276D">
            <w:pPr>
              <w:spacing w:after="0" w:line="240" w:lineRule="auto"/>
              <w:jc w:val="center"/>
              <w:rPr>
                <w:rFonts w:cs="Arial"/>
                <w:color w:val="FFFFFF"/>
                <w:kern w:val="24"/>
                <w:sz w:val="20"/>
                <w:szCs w:val="20"/>
              </w:rPr>
            </w:pPr>
            <w:r w:rsidRPr="002C276D">
              <w:rPr>
                <w:rFonts w:cs="Arial"/>
                <w:b/>
                <w:bCs/>
                <w:color w:val="FFFFFF"/>
                <w:kern w:val="24"/>
                <w:sz w:val="20"/>
                <w:szCs w:val="20"/>
              </w:rPr>
              <w:t>New York</w:t>
            </w:r>
          </w:p>
        </w:tc>
      </w:tr>
      <w:tr w:rsidR="001670EC" w:rsidRPr="002C276D" w:rsidTr="002C276D">
        <w:trPr>
          <w:trHeight w:val="234"/>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240" w:lineRule="auto"/>
              <w:rPr>
                <w:rFonts w:ascii="Arial" w:hAnsi="Arial" w:cs="Arial"/>
                <w:sz w:val="20"/>
                <w:szCs w:val="20"/>
              </w:rPr>
            </w:pPr>
            <w:r w:rsidRPr="002C276D">
              <w:rPr>
                <w:rFonts w:cs="Arial"/>
                <w:color w:val="000000"/>
                <w:kern w:val="24"/>
                <w:sz w:val="20"/>
                <w:szCs w:val="20"/>
              </w:rPr>
              <w:t>% of population ages 16 and older in the workforce</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60.0%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61.8% </w:t>
            </w:r>
          </w:p>
        </w:tc>
        <w:tc>
          <w:tcPr>
            <w:tcW w:w="13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62.5% </w:t>
            </w:r>
          </w:p>
        </w:tc>
        <w:tc>
          <w:tcPr>
            <w:tcW w:w="12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63.9% </w:t>
            </w:r>
          </w:p>
        </w:tc>
      </w:tr>
      <w:tr w:rsidR="001670EC" w:rsidRPr="002C276D" w:rsidTr="002C276D">
        <w:trPr>
          <w:trHeight w:val="13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color w:val="000000"/>
                <w:kern w:val="24"/>
                <w:sz w:val="20"/>
                <w:szCs w:val="20"/>
              </w:rPr>
              <w:t xml:space="preserve">% unemployment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9.3%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10.6% </w:t>
            </w:r>
          </w:p>
        </w:tc>
        <w:tc>
          <w:tcPr>
            <w:tcW w:w="13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6.8% </w:t>
            </w:r>
          </w:p>
        </w:tc>
        <w:tc>
          <w:tcPr>
            <w:tcW w:w="12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7.2% </w:t>
            </w:r>
          </w:p>
        </w:tc>
      </w:tr>
      <w:tr w:rsidR="001670EC" w:rsidRPr="002C276D" w:rsidTr="002C276D">
        <w:trPr>
          <w:trHeight w:val="135"/>
        </w:trPr>
        <w:tc>
          <w:tcPr>
            <w:tcW w:w="0" w:type="auto"/>
            <w:gridSpan w:val="5"/>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b/>
                <w:bCs/>
                <w:color w:val="000000"/>
                <w:kern w:val="24"/>
                <w:sz w:val="20"/>
                <w:szCs w:val="20"/>
              </w:rPr>
              <w:t xml:space="preserve">Employment Sector </w:t>
            </w:r>
          </w:p>
        </w:tc>
      </w:tr>
      <w:tr w:rsidR="001670EC" w:rsidRPr="002C276D" w:rsidTr="002C276D">
        <w:trPr>
          <w:trHeight w:val="23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240" w:lineRule="auto"/>
              <w:rPr>
                <w:rFonts w:cs="Arial"/>
                <w:color w:val="000000"/>
                <w:kern w:val="24"/>
                <w:sz w:val="20"/>
                <w:szCs w:val="20"/>
              </w:rPr>
            </w:pPr>
            <w:r w:rsidRPr="002C276D">
              <w:rPr>
                <w:rFonts w:cs="Arial"/>
                <w:color w:val="000000"/>
                <w:kern w:val="24"/>
                <w:sz w:val="20"/>
                <w:szCs w:val="20"/>
              </w:rPr>
              <w:t xml:space="preserve">Agriculture, forestry, fishing, hunting, </w:t>
            </w:r>
          </w:p>
          <w:p w:rsidR="001670EC" w:rsidRPr="002C276D" w:rsidRDefault="001670EC" w:rsidP="002C276D">
            <w:pPr>
              <w:spacing w:after="0" w:line="240" w:lineRule="auto"/>
              <w:rPr>
                <w:rFonts w:ascii="Arial" w:hAnsi="Arial" w:cs="Arial"/>
                <w:sz w:val="20"/>
                <w:szCs w:val="20"/>
              </w:rPr>
            </w:pPr>
            <w:r w:rsidRPr="002C276D">
              <w:rPr>
                <w:rFonts w:cs="Arial"/>
                <w:color w:val="000000"/>
                <w:kern w:val="24"/>
                <w:sz w:val="20"/>
                <w:szCs w:val="20"/>
              </w:rPr>
              <w:t xml:space="preserve">&amp; mining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1.2%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2.5% </w:t>
            </w:r>
          </w:p>
        </w:tc>
        <w:tc>
          <w:tcPr>
            <w:tcW w:w="13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1.7% </w:t>
            </w:r>
          </w:p>
        </w:tc>
        <w:tc>
          <w:tcPr>
            <w:tcW w:w="12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240" w:lineRule="auto"/>
              <w:jc w:val="center"/>
              <w:rPr>
                <w:rFonts w:ascii="Arial" w:hAnsi="Arial" w:cs="Arial"/>
                <w:sz w:val="20"/>
                <w:szCs w:val="20"/>
              </w:rPr>
            </w:pPr>
            <w:r w:rsidRPr="002C276D">
              <w:rPr>
                <w:rFonts w:cs="Arial"/>
                <w:color w:val="000000"/>
                <w:kern w:val="24"/>
                <w:sz w:val="20"/>
                <w:szCs w:val="20"/>
              </w:rPr>
              <w:t xml:space="preserve">0.9% </w:t>
            </w:r>
          </w:p>
        </w:tc>
      </w:tr>
      <w:tr w:rsidR="001670EC" w:rsidRPr="002C276D" w:rsidTr="002C276D">
        <w:trPr>
          <w:trHeight w:val="13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color w:val="000000"/>
                <w:kern w:val="24"/>
                <w:sz w:val="20"/>
                <w:szCs w:val="20"/>
              </w:rPr>
              <w:t xml:space="preserve">Construction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7.9%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6.5% </w:t>
            </w:r>
          </w:p>
        </w:tc>
        <w:tc>
          <w:tcPr>
            <w:tcW w:w="13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7.2% </w:t>
            </w:r>
          </w:p>
        </w:tc>
        <w:tc>
          <w:tcPr>
            <w:tcW w:w="12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6.2% </w:t>
            </w:r>
          </w:p>
        </w:tc>
      </w:tr>
      <w:tr w:rsidR="001670EC" w:rsidRPr="002C276D" w:rsidTr="002C276D">
        <w:trPr>
          <w:trHeight w:val="13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color w:val="000000"/>
                <w:kern w:val="24"/>
                <w:sz w:val="20"/>
                <w:szCs w:val="20"/>
              </w:rPr>
              <w:t xml:space="preserve">Education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9.8%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8.8% </w:t>
            </w:r>
          </w:p>
        </w:tc>
        <w:tc>
          <w:tcPr>
            <w:tcW w:w="13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11.4% </w:t>
            </w:r>
          </w:p>
        </w:tc>
        <w:tc>
          <w:tcPr>
            <w:tcW w:w="12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12.5% </w:t>
            </w:r>
          </w:p>
        </w:tc>
      </w:tr>
      <w:tr w:rsidR="001670EC" w:rsidRPr="002C276D" w:rsidTr="002C276D">
        <w:trPr>
          <w:trHeight w:val="13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color w:val="000000"/>
                <w:kern w:val="24"/>
                <w:sz w:val="20"/>
                <w:szCs w:val="20"/>
              </w:rPr>
              <w:t xml:space="preserve">Health care and social assistance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20.9%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18.2% </w:t>
            </w:r>
          </w:p>
        </w:tc>
        <w:tc>
          <w:tcPr>
            <w:tcW w:w="13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15.8% </w:t>
            </w:r>
          </w:p>
        </w:tc>
        <w:tc>
          <w:tcPr>
            <w:tcW w:w="12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15.8% </w:t>
            </w:r>
          </w:p>
        </w:tc>
      </w:tr>
      <w:tr w:rsidR="001670EC" w:rsidRPr="002C276D" w:rsidTr="002C276D">
        <w:trPr>
          <w:trHeight w:val="135"/>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color w:val="000000"/>
                <w:kern w:val="24"/>
                <w:sz w:val="20"/>
                <w:szCs w:val="20"/>
              </w:rPr>
              <w:t xml:space="preserve">Manufacturing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10.6%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11.5% </w:t>
            </w:r>
          </w:p>
        </w:tc>
        <w:tc>
          <w:tcPr>
            <w:tcW w:w="13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9.8% </w:t>
            </w:r>
          </w:p>
        </w:tc>
        <w:tc>
          <w:tcPr>
            <w:tcW w:w="12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8.7% </w:t>
            </w:r>
          </w:p>
        </w:tc>
      </w:tr>
      <w:tr w:rsidR="001670EC" w:rsidRPr="002C276D" w:rsidTr="002C276D">
        <w:trPr>
          <w:trHeight w:val="135"/>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rPr>
                <w:rFonts w:ascii="Arial" w:hAnsi="Arial" w:cs="Arial"/>
                <w:sz w:val="20"/>
                <w:szCs w:val="20"/>
              </w:rPr>
            </w:pPr>
            <w:r w:rsidRPr="002C276D">
              <w:rPr>
                <w:rFonts w:cs="Arial"/>
                <w:color w:val="000000"/>
                <w:kern w:val="24"/>
                <w:sz w:val="20"/>
                <w:szCs w:val="20"/>
              </w:rPr>
              <w:t xml:space="preserve">Retail trade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16.0%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13.0% </w:t>
            </w:r>
          </w:p>
        </w:tc>
        <w:tc>
          <w:tcPr>
            <w:tcW w:w="13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12.4% </w:t>
            </w:r>
          </w:p>
        </w:tc>
        <w:tc>
          <w:tcPr>
            <w:tcW w:w="12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1670EC" w:rsidRPr="002C276D" w:rsidRDefault="001670EC" w:rsidP="002C276D">
            <w:pPr>
              <w:spacing w:after="0" w:line="337" w:lineRule="atLeast"/>
              <w:jc w:val="center"/>
              <w:rPr>
                <w:rFonts w:ascii="Arial" w:hAnsi="Arial" w:cs="Arial"/>
                <w:sz w:val="20"/>
                <w:szCs w:val="20"/>
              </w:rPr>
            </w:pPr>
            <w:r w:rsidRPr="002C276D">
              <w:rPr>
                <w:rFonts w:cs="Arial"/>
                <w:color w:val="000000"/>
                <w:kern w:val="24"/>
                <w:sz w:val="20"/>
                <w:szCs w:val="20"/>
              </w:rPr>
              <w:t xml:space="preserve">11.5% </w:t>
            </w:r>
          </w:p>
        </w:tc>
      </w:tr>
    </w:tbl>
    <w:p w:rsidR="001670EC" w:rsidRPr="002C276D" w:rsidRDefault="001670EC" w:rsidP="00003C6D">
      <w:pPr>
        <w:rPr>
          <w:sz w:val="20"/>
          <w:szCs w:val="20"/>
        </w:rPr>
      </w:pPr>
    </w:p>
    <w:p w:rsidR="001670EC" w:rsidRPr="00AB1011" w:rsidRDefault="001670EC" w:rsidP="00003C6D">
      <w:pPr>
        <w:rPr>
          <w:color w:val="4F81BD"/>
        </w:rPr>
      </w:pPr>
    </w:p>
    <w:p w:rsidR="001670EC" w:rsidRDefault="001670EC" w:rsidP="005E1916">
      <w:pPr>
        <w:pStyle w:val="Heading2"/>
        <w:rPr>
          <w:noProof/>
        </w:rPr>
      </w:pPr>
      <w:bookmarkStart w:id="17" w:name="_Toc355250960"/>
      <w:r w:rsidRPr="00AB1011">
        <w:t>Figure 7a:  Level of Education, Fulton County, ARHN and New York State</w:t>
      </w:r>
      <w:r w:rsidRPr="00B708B5">
        <w:t xml:space="preserve"> </w:t>
      </w:r>
      <w:bookmarkEnd w:id="17"/>
      <w:r w:rsidR="00B240D8">
        <w:rPr>
          <w:noProof/>
        </w:rPr>
        <w:drawing>
          <wp:inline distT="0" distB="0" distL="0" distR="0">
            <wp:extent cx="5946906" cy="2562749"/>
            <wp:effectExtent l="12189" t="6081" r="6095" b="380"/>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70EC" w:rsidRDefault="001670EC" w:rsidP="00AB1011">
      <w:pPr>
        <w:pStyle w:val="ListParagraph"/>
        <w:ind w:left="0"/>
        <w:contextualSpacing w:val="0"/>
        <w:rPr>
          <w:rFonts w:ascii="Cambria" w:hAnsi="Cambria"/>
          <w:b/>
          <w:color w:val="365F91"/>
          <w:sz w:val="26"/>
          <w:szCs w:val="26"/>
        </w:rPr>
      </w:pPr>
    </w:p>
    <w:p w:rsidR="001670EC" w:rsidRDefault="001670EC" w:rsidP="00AB1011">
      <w:pPr>
        <w:pStyle w:val="ListParagraph"/>
        <w:ind w:left="0"/>
        <w:contextualSpacing w:val="0"/>
        <w:rPr>
          <w:rFonts w:ascii="Cambria" w:hAnsi="Cambria"/>
          <w:b/>
          <w:color w:val="365F91"/>
          <w:sz w:val="26"/>
          <w:szCs w:val="26"/>
        </w:rPr>
      </w:pPr>
    </w:p>
    <w:p w:rsidR="001670EC" w:rsidRDefault="001670EC" w:rsidP="00AB1011">
      <w:pPr>
        <w:pStyle w:val="ListParagraph"/>
        <w:ind w:left="0"/>
        <w:contextualSpacing w:val="0"/>
        <w:rPr>
          <w:rFonts w:ascii="Cambria" w:hAnsi="Cambria"/>
          <w:b/>
          <w:color w:val="365F91"/>
          <w:sz w:val="26"/>
          <w:szCs w:val="26"/>
        </w:rPr>
      </w:pPr>
    </w:p>
    <w:p w:rsidR="001670EC" w:rsidRDefault="001670EC" w:rsidP="00AB1011">
      <w:pPr>
        <w:pStyle w:val="ListParagraph"/>
        <w:ind w:left="0"/>
        <w:contextualSpacing w:val="0"/>
        <w:rPr>
          <w:rFonts w:ascii="Cambria" w:hAnsi="Cambria"/>
          <w:b/>
          <w:color w:val="365F91"/>
          <w:sz w:val="26"/>
          <w:szCs w:val="26"/>
        </w:rPr>
      </w:pPr>
    </w:p>
    <w:p w:rsidR="001670EC" w:rsidRDefault="001670EC" w:rsidP="00AB1011">
      <w:pPr>
        <w:pStyle w:val="ListParagraph"/>
        <w:ind w:left="0"/>
        <w:contextualSpacing w:val="0"/>
        <w:rPr>
          <w:rFonts w:ascii="Cambria" w:hAnsi="Cambria"/>
          <w:b/>
          <w:color w:val="365F91"/>
          <w:sz w:val="26"/>
          <w:szCs w:val="26"/>
        </w:rPr>
      </w:pPr>
    </w:p>
    <w:p w:rsidR="001670EC" w:rsidRPr="00AB1011" w:rsidRDefault="001670EC" w:rsidP="00AB1011">
      <w:pPr>
        <w:pStyle w:val="ListParagraph"/>
        <w:ind w:left="0"/>
        <w:contextualSpacing w:val="0"/>
        <w:rPr>
          <w:rFonts w:ascii="Cambria" w:hAnsi="Cambria"/>
          <w:b/>
          <w:color w:val="365F91"/>
          <w:sz w:val="26"/>
          <w:szCs w:val="26"/>
        </w:rPr>
      </w:pPr>
      <w:r w:rsidRPr="00AB1011">
        <w:rPr>
          <w:rFonts w:ascii="Cambria" w:hAnsi="Cambria"/>
          <w:b/>
          <w:color w:val="365F91"/>
          <w:sz w:val="26"/>
          <w:szCs w:val="26"/>
        </w:rPr>
        <w:t>Figure 7</w:t>
      </w:r>
      <w:r>
        <w:rPr>
          <w:rFonts w:ascii="Cambria" w:hAnsi="Cambria"/>
          <w:b/>
          <w:color w:val="365F91"/>
          <w:sz w:val="26"/>
          <w:szCs w:val="26"/>
        </w:rPr>
        <w:t>b</w:t>
      </w:r>
      <w:r w:rsidRPr="00AB1011">
        <w:rPr>
          <w:rFonts w:ascii="Cambria" w:hAnsi="Cambria"/>
          <w:b/>
          <w:color w:val="365F91"/>
          <w:sz w:val="26"/>
          <w:szCs w:val="26"/>
        </w:rPr>
        <w:t>:</w:t>
      </w:r>
      <w:r w:rsidRPr="00AB1011">
        <w:rPr>
          <w:b/>
          <w:color w:val="365F91"/>
        </w:rPr>
        <w:t xml:space="preserve">  </w:t>
      </w:r>
      <w:r w:rsidRPr="00AB1011">
        <w:rPr>
          <w:rFonts w:ascii="Cambria" w:hAnsi="Cambria"/>
          <w:b/>
          <w:color w:val="365F91"/>
          <w:sz w:val="26"/>
          <w:szCs w:val="26"/>
        </w:rPr>
        <w:t>Vulnerable Population Area (low educational attainment and High Poverty)</w:t>
      </w:r>
    </w:p>
    <w:p w:rsidR="001670EC" w:rsidRDefault="00B240D8" w:rsidP="0016467B">
      <w:pPr>
        <w:jc w:val="center"/>
        <w:rPr>
          <w:b/>
          <w:color w:val="365F91"/>
          <w:sz w:val="32"/>
          <w:szCs w:val="32"/>
        </w:rPr>
      </w:pPr>
      <w:r>
        <w:rPr>
          <w:b/>
          <w:noProof/>
          <w:color w:val="365F91"/>
          <w:sz w:val="32"/>
          <w:szCs w:val="32"/>
        </w:rPr>
        <w:drawing>
          <wp:inline distT="0" distB="0" distL="0" distR="0">
            <wp:extent cx="3777615" cy="25800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777615" cy="2580005"/>
                    </a:xfrm>
                    <a:prstGeom prst="rect">
                      <a:avLst/>
                    </a:prstGeom>
                    <a:noFill/>
                    <a:ln w="9525">
                      <a:noFill/>
                      <a:miter lim="800000"/>
                      <a:headEnd/>
                      <a:tailEnd/>
                    </a:ln>
                  </pic:spPr>
                </pic:pic>
              </a:graphicData>
            </a:graphic>
          </wp:inline>
        </w:drawing>
      </w:r>
      <w:r w:rsidR="001670EC">
        <w:rPr>
          <w:b/>
          <w:color w:val="365F91"/>
          <w:sz w:val="32"/>
          <w:szCs w:val="32"/>
        </w:rPr>
        <w:t xml:space="preserve"> </w:t>
      </w:r>
    </w:p>
    <w:p w:rsidR="001670EC" w:rsidRPr="0076549D" w:rsidRDefault="001670EC" w:rsidP="00AB1011">
      <w:pPr>
        <w:pStyle w:val="ListParagraph"/>
        <w:rPr>
          <w:b/>
          <w:color w:val="365F91"/>
          <w:sz w:val="16"/>
          <w:szCs w:val="16"/>
        </w:rPr>
      </w:pPr>
      <w:r w:rsidRPr="0076549D">
        <w:rPr>
          <w:b/>
          <w:color w:val="365F91"/>
          <w:sz w:val="16"/>
          <w:szCs w:val="16"/>
        </w:rPr>
        <w:t>P=percentage of poverty</w:t>
      </w:r>
    </w:p>
    <w:p w:rsidR="001670EC" w:rsidRPr="0076549D" w:rsidRDefault="001670EC" w:rsidP="00AB1011">
      <w:pPr>
        <w:pStyle w:val="ListParagraph"/>
        <w:rPr>
          <w:b/>
          <w:color w:val="365F91"/>
          <w:sz w:val="16"/>
          <w:szCs w:val="16"/>
        </w:rPr>
      </w:pPr>
      <w:r w:rsidRPr="0076549D">
        <w:rPr>
          <w:b/>
          <w:color w:val="365F91"/>
          <w:sz w:val="16"/>
          <w:szCs w:val="16"/>
        </w:rPr>
        <w:t>HS= percentage with less than a high school diploma</w:t>
      </w:r>
    </w:p>
    <w:p w:rsidR="001670EC" w:rsidRDefault="001670EC" w:rsidP="00AB1011">
      <w:pPr>
        <w:pStyle w:val="ListParagraph"/>
        <w:rPr>
          <w:b/>
          <w:color w:val="365F91"/>
          <w:sz w:val="16"/>
          <w:szCs w:val="16"/>
        </w:rPr>
      </w:pPr>
      <w:r w:rsidRPr="0076549D">
        <w:rPr>
          <w:b/>
          <w:color w:val="365F91"/>
          <w:sz w:val="16"/>
          <w:szCs w:val="16"/>
        </w:rPr>
        <w:t>H= Nathan Littauer Hospital</w:t>
      </w:r>
    </w:p>
    <w:p w:rsidR="001670EC" w:rsidRPr="0076549D" w:rsidRDefault="001670EC" w:rsidP="00AB1011">
      <w:pPr>
        <w:pStyle w:val="ListParagraph"/>
        <w:rPr>
          <w:b/>
          <w:color w:val="365F91"/>
          <w:sz w:val="16"/>
          <w:szCs w:val="16"/>
        </w:rPr>
      </w:pPr>
    </w:p>
    <w:p w:rsidR="001670EC" w:rsidRPr="00AB1011" w:rsidRDefault="001670EC" w:rsidP="00AB1011">
      <w:pPr>
        <w:pStyle w:val="ListParagraph"/>
        <w:contextualSpacing w:val="0"/>
        <w:rPr>
          <w:b/>
          <w:color w:val="365F91"/>
          <w:sz w:val="16"/>
          <w:szCs w:val="16"/>
        </w:rPr>
      </w:pPr>
      <w:r w:rsidRPr="00AB1011">
        <w:rPr>
          <w:rFonts w:cs="Arial"/>
          <w:color w:val="444444"/>
          <w:sz w:val="16"/>
          <w:szCs w:val="16"/>
        </w:rPr>
        <w:t xml:space="preserve">Population counts for demographic groups and total area population data are acquired from the U.S. Census Bureau’s American Community Survey. Data represent estimates for the 5 year period 2007-2011. Mapped data are summarized to 2010 census tract boundaries. Area demographic statistics are measured as a percentage of the total population based on the following formula: </w:t>
      </w:r>
      <w:r w:rsidRPr="00AB1011">
        <w:rPr>
          <w:rFonts w:cs="Arial"/>
          <w:color w:val="444444"/>
          <w:sz w:val="16"/>
          <w:szCs w:val="16"/>
        </w:rPr>
        <w:br/>
      </w:r>
      <w:r w:rsidRPr="00AB1011">
        <w:rPr>
          <w:rFonts w:cs="Arial"/>
          <w:b/>
          <w:bCs/>
          <w:color w:val="444444"/>
          <w:sz w:val="16"/>
          <w:szCs w:val="16"/>
        </w:rPr>
        <w:t>Percentage = [Subgroup Population] / [Total Population] * 100</w:t>
      </w:r>
    </w:p>
    <w:p w:rsidR="001670EC" w:rsidRPr="000E0302" w:rsidRDefault="003D1A5F" w:rsidP="000E0302">
      <w:pPr>
        <w:pStyle w:val="ListParagraph"/>
        <w:contextualSpacing w:val="0"/>
        <w:rPr>
          <w:b/>
          <w:color w:val="365F91"/>
          <w:sz w:val="14"/>
          <w:szCs w:val="14"/>
        </w:rPr>
      </w:pPr>
      <w:hyperlink r:id="rId19" w:history="1">
        <w:r w:rsidR="001670EC" w:rsidRPr="000E0302">
          <w:rPr>
            <w:rStyle w:val="Hyperlink"/>
            <w:b/>
            <w:sz w:val="14"/>
            <w:szCs w:val="14"/>
          </w:rPr>
          <w:t>http://assessment.communitycommons.org/CHNA/</w:t>
        </w:r>
      </w:hyperlink>
    </w:p>
    <w:p w:rsidR="001670EC" w:rsidRPr="00AB1011" w:rsidRDefault="001670EC" w:rsidP="00AB1011"/>
    <w:p w:rsidR="001670EC" w:rsidRPr="00AB1011" w:rsidRDefault="001670EC" w:rsidP="00AB1011">
      <w:pPr>
        <w:rPr>
          <w:rFonts w:cs="Tahoma"/>
        </w:rPr>
      </w:pPr>
      <w:r w:rsidRPr="00AB1011">
        <w:rPr>
          <w:rFonts w:cs="Tahoma"/>
        </w:rPr>
        <w:t xml:space="preserve">There are 7 school districts within the confines of Fulton County.  They are Northville, Mayfield, Broadalbin – Perth, Gloversville, Johnstown, Wheelerville and Oppenheim-Ephratah – St. Johnsville.  Some Fulton County students reside in districts that are served by Saratoga (Galway) or Herkimer County (Dolgeville).  In addition, students from Hamilton County attend Northville Central School and Johnstown High School.  Wheelerville is a K-8 common school whose high school students attend Johnstown High School. </w:t>
      </w:r>
    </w:p>
    <w:p w:rsidR="001670EC" w:rsidRPr="00AB1011" w:rsidRDefault="001670EC" w:rsidP="00556421">
      <w:pPr>
        <w:rPr>
          <w:rFonts w:ascii="Tahoma" w:hAnsi="Tahoma" w:cs="Tahoma"/>
        </w:rPr>
      </w:pPr>
      <w:r w:rsidRPr="00AB1011">
        <w:rPr>
          <w:rFonts w:cs="Tahoma"/>
        </w:rPr>
        <w:t>Fulton County residents have a higher level of attainment of a high school diploma as compared to the NYS rate.  However, the rate of attainment for higher education drops below the state average beyond an associate’s degree.  Fulton-Montgomery Community College is the only institute of higher education in the immediate vicinity and students wishing to continue their education beyond 2 years must travel out of the area.  The closest SUNY College is in Albany.  Although the Capital District’s multiple private colleges provide a wealth of opportunities for education, the cost may be prohibitive for the residents of our county.</w:t>
      </w:r>
    </w:p>
    <w:p w:rsidR="001670EC" w:rsidRDefault="001670EC" w:rsidP="005E1916">
      <w:pPr>
        <w:pStyle w:val="Heading2"/>
      </w:pPr>
      <w:bookmarkStart w:id="18" w:name="_Toc355250961"/>
      <w:r w:rsidRPr="00B708B5">
        <w:t xml:space="preserve">Figure </w:t>
      </w:r>
      <w:r>
        <w:t>8a</w:t>
      </w:r>
      <w:r w:rsidRPr="00B708B5">
        <w:t>:  Percentage of Households with Monthly Housing Costs at least 30% of Total Household Income</w:t>
      </w:r>
      <w:bookmarkEnd w:id="18"/>
    </w:p>
    <w:p w:rsidR="001670EC" w:rsidRDefault="00B240D8" w:rsidP="00C334DC">
      <w:pPr>
        <w:jc w:val="center"/>
        <w:rPr>
          <w:noProof/>
        </w:rPr>
      </w:pPr>
      <w:r>
        <w:rPr>
          <w:noProof/>
        </w:rPr>
        <w:drawing>
          <wp:inline distT="0" distB="0" distL="0" distR="0">
            <wp:extent cx="4664162" cy="2366750"/>
            <wp:effectExtent l="11944" t="4996" r="4479" b="1249"/>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70EC" w:rsidRPr="00C334DC" w:rsidRDefault="001670EC" w:rsidP="007401CB">
      <w:pPr>
        <w:rPr>
          <w:rFonts w:ascii="Cambria" w:hAnsi="Cambria"/>
          <w:b/>
          <w:color w:val="365F91"/>
          <w:sz w:val="26"/>
          <w:szCs w:val="26"/>
        </w:rPr>
      </w:pPr>
      <w:r w:rsidRPr="00C334DC">
        <w:rPr>
          <w:rFonts w:ascii="Cambria" w:hAnsi="Cambria"/>
          <w:b/>
          <w:color w:val="365F91"/>
          <w:sz w:val="26"/>
          <w:szCs w:val="26"/>
        </w:rPr>
        <w:t>Figure 8</w:t>
      </w:r>
      <w:r>
        <w:rPr>
          <w:rFonts w:ascii="Cambria" w:hAnsi="Cambria"/>
          <w:b/>
          <w:color w:val="365F91"/>
          <w:sz w:val="26"/>
          <w:szCs w:val="26"/>
        </w:rPr>
        <w:t>b</w:t>
      </w:r>
      <w:r w:rsidRPr="00C334DC">
        <w:rPr>
          <w:rFonts w:ascii="Cambria" w:hAnsi="Cambria"/>
          <w:b/>
          <w:color w:val="365F91"/>
          <w:sz w:val="26"/>
          <w:szCs w:val="26"/>
        </w:rPr>
        <w:t xml:space="preserve">:  </w:t>
      </w:r>
      <w:r>
        <w:rPr>
          <w:rFonts w:ascii="Cambria" w:hAnsi="Cambria"/>
          <w:b/>
          <w:color w:val="365F91"/>
          <w:sz w:val="26"/>
          <w:szCs w:val="26"/>
        </w:rPr>
        <w:t>Housing Age</w:t>
      </w:r>
    </w:p>
    <w:p w:rsidR="001670EC" w:rsidRDefault="00B240D8" w:rsidP="00C334DC">
      <w:pPr>
        <w:jc w:val="center"/>
        <w:rPr>
          <w:noProof/>
        </w:rPr>
      </w:pPr>
      <w:r>
        <w:rPr>
          <w:noProof/>
        </w:rPr>
        <w:drawing>
          <wp:inline distT="0" distB="0" distL="0" distR="0">
            <wp:extent cx="4608165" cy="2302476"/>
            <wp:effectExtent l="12297" t="5114" r="6148"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70EC" w:rsidRPr="00C334DC" w:rsidRDefault="001670EC" w:rsidP="007401CB">
      <w:pPr>
        <w:rPr>
          <w:rFonts w:ascii="Cambria" w:hAnsi="Cambria"/>
          <w:b/>
          <w:color w:val="365F91"/>
          <w:sz w:val="26"/>
          <w:szCs w:val="26"/>
        </w:rPr>
      </w:pPr>
      <w:r w:rsidRPr="00C334DC">
        <w:rPr>
          <w:rFonts w:ascii="Cambria" w:hAnsi="Cambria"/>
          <w:b/>
          <w:color w:val="365F91"/>
          <w:sz w:val="26"/>
          <w:szCs w:val="26"/>
        </w:rPr>
        <w:t>Figure 8</w:t>
      </w:r>
      <w:r>
        <w:rPr>
          <w:rFonts w:ascii="Cambria" w:hAnsi="Cambria"/>
          <w:b/>
          <w:color w:val="365F91"/>
          <w:sz w:val="26"/>
          <w:szCs w:val="26"/>
        </w:rPr>
        <w:t>c</w:t>
      </w:r>
      <w:r w:rsidRPr="00C334DC">
        <w:rPr>
          <w:rFonts w:ascii="Cambria" w:hAnsi="Cambria"/>
          <w:b/>
          <w:color w:val="365F91"/>
          <w:sz w:val="26"/>
          <w:szCs w:val="26"/>
        </w:rPr>
        <w:t xml:space="preserve">:  </w:t>
      </w:r>
      <w:r>
        <w:rPr>
          <w:rFonts w:ascii="Cambria" w:hAnsi="Cambria"/>
          <w:b/>
          <w:color w:val="365F91"/>
          <w:sz w:val="26"/>
          <w:szCs w:val="26"/>
        </w:rPr>
        <w:t>Housing Values 2010</w:t>
      </w:r>
    </w:p>
    <w:p w:rsidR="001670EC" w:rsidRDefault="00B240D8" w:rsidP="00C334DC">
      <w:pPr>
        <w:jc w:val="center"/>
        <w:rPr>
          <w:noProof/>
        </w:rPr>
      </w:pPr>
      <w:r>
        <w:rPr>
          <w:noProof/>
        </w:rPr>
        <w:drawing>
          <wp:inline distT="0" distB="0" distL="0" distR="0">
            <wp:extent cx="4608165" cy="2248621"/>
            <wp:effectExtent l="12297" t="4994" r="6148"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70EC" w:rsidRPr="00556421" w:rsidRDefault="001670EC" w:rsidP="00556421">
      <w:pPr>
        <w:rPr>
          <w:rFonts w:cs="Tahoma"/>
        </w:rPr>
      </w:pPr>
      <w:r w:rsidRPr="00556421">
        <w:rPr>
          <w:rFonts w:cs="Tahoma"/>
        </w:rPr>
        <w:t>Ample housing exists in Fulton County.  Public Housing for families exists in the City of Gloversville; the DuBois Apartment Complex and the Kingsboro Apartments.  Subsidized Senior Citizen housing is located in the City of Gloversville - the Kingsboro and Forest Hills Towers.  Subsidized housing in the City of Johnstown includes Trackside Homes and Hillside Apartments; Petoff Gardens Apartments is available in the Town of Broadalbin</w:t>
      </w:r>
    </w:p>
    <w:p w:rsidR="001670EC" w:rsidRDefault="001670EC" w:rsidP="00556421">
      <w:pPr>
        <w:rPr>
          <w:rFonts w:cs="Tahoma"/>
        </w:rPr>
      </w:pPr>
      <w:r w:rsidRPr="00556421">
        <w:rPr>
          <w:rFonts w:cs="Tahoma"/>
        </w:rPr>
        <w:t xml:space="preserve">The housing stock in Fulton County is very old, with 40.5% built prior to 1940.  </w:t>
      </w:r>
      <w:r>
        <w:rPr>
          <w:rFonts w:cs="Tahoma"/>
        </w:rPr>
        <w:t>The median home value is $98,700.</w:t>
      </w:r>
    </w:p>
    <w:p w:rsidR="001670EC" w:rsidRDefault="001670EC" w:rsidP="00556421">
      <w:pPr>
        <w:rPr>
          <w:rFonts w:cs="Tahoma"/>
        </w:rPr>
      </w:pPr>
      <w:r>
        <w:rPr>
          <w:rFonts w:cs="Tahoma"/>
        </w:rPr>
        <w:t xml:space="preserve">Gloversville has a high rate of families living in poverty and a high lead zip code.  </w:t>
      </w:r>
      <w:r w:rsidRPr="00556421">
        <w:rPr>
          <w:rFonts w:cs="Tahoma"/>
        </w:rPr>
        <w:t>67.3% of the homes in the City of Gloversville we</w:t>
      </w:r>
      <w:r>
        <w:rPr>
          <w:rFonts w:cs="Tahoma"/>
        </w:rPr>
        <w:t>re built prior to 1940, and 89.2</w:t>
      </w:r>
      <w:r w:rsidRPr="00556421">
        <w:rPr>
          <w:rFonts w:cs="Tahoma"/>
        </w:rPr>
        <w:t xml:space="preserve">% prior to 1970.  </w:t>
      </w:r>
    </w:p>
    <w:p w:rsidR="001670EC" w:rsidRPr="00C334DC" w:rsidRDefault="001670EC" w:rsidP="007401CB">
      <w:pPr>
        <w:rPr>
          <w:rFonts w:cs="Tahoma"/>
        </w:rPr>
      </w:pPr>
      <w:r w:rsidRPr="00037BCC">
        <w:rPr>
          <w:rFonts w:cs="Tahoma"/>
        </w:rPr>
        <w:t xml:space="preserve">The housing situation in the City of Gloversville has not changed since the last assessment.  Lead abatement enforcement is a double-edged sword.  Landlords, forced to abate homes or face fines, abandon property that is then foreclosed and removed from the tax rolls.   In many cases, the city is forced to raze the homes at taxpayer expense.  The housing authority allows the family of a child with a blood lead </w:t>
      </w:r>
      <w:r>
        <w:rPr>
          <w:rFonts w:cs="Tahoma"/>
        </w:rPr>
        <w:t xml:space="preserve">level </w:t>
      </w:r>
      <w:r w:rsidRPr="00037BCC">
        <w:rPr>
          <w:rFonts w:cs="Tahoma"/>
        </w:rPr>
        <w:t xml:space="preserve">of over 20 to move to the top of the housing waiting list, but not enough HUD public housing exists to </w:t>
      </w:r>
      <w:r>
        <w:rPr>
          <w:rFonts w:cs="Tahoma"/>
        </w:rPr>
        <w:t>meet the need</w:t>
      </w:r>
      <w:r w:rsidRPr="00037BCC">
        <w:rPr>
          <w:rFonts w:cs="Tahoma"/>
        </w:rPr>
        <w:t xml:space="preserve">.  In addition, to some families the social </w:t>
      </w:r>
      <w:r>
        <w:rPr>
          <w:rFonts w:cs="Tahoma"/>
        </w:rPr>
        <w:t>challenges</w:t>
      </w:r>
      <w:r w:rsidRPr="00037BCC">
        <w:rPr>
          <w:rFonts w:cs="Tahoma"/>
        </w:rPr>
        <w:t xml:space="preserve"> inherent in publ</w:t>
      </w:r>
      <w:r>
        <w:rPr>
          <w:rFonts w:cs="Tahoma"/>
        </w:rPr>
        <w:t>ic housing make moving into</w:t>
      </w:r>
      <w:r w:rsidRPr="00037BCC">
        <w:rPr>
          <w:rFonts w:cs="Tahoma"/>
        </w:rPr>
        <w:t xml:space="preserve"> lead-free housing undesirable.</w:t>
      </w:r>
    </w:p>
    <w:p w:rsidR="001670EC" w:rsidRDefault="001670EC" w:rsidP="00054522">
      <w:pPr>
        <w:pStyle w:val="Heading2"/>
      </w:pPr>
      <w:bookmarkStart w:id="19" w:name="_Toc355250962"/>
      <w:r w:rsidRPr="00BF2D9D">
        <w:t xml:space="preserve">Figure </w:t>
      </w:r>
      <w:r>
        <w:t>9</w:t>
      </w:r>
      <w:r w:rsidRPr="00BF2D9D">
        <w:t xml:space="preserve">:  </w:t>
      </w:r>
      <w:r>
        <w:t xml:space="preserve">Change in </w:t>
      </w:r>
      <w:r w:rsidRPr="00BF2D9D">
        <w:t xml:space="preserve">Percentage of Population who were </w:t>
      </w:r>
      <w:r>
        <w:t xml:space="preserve">insured by age group 2006-2010 Fulton </w:t>
      </w:r>
      <w:r w:rsidRPr="00BF2D9D">
        <w:t>County</w:t>
      </w:r>
      <w:bookmarkEnd w:id="19"/>
    </w:p>
    <w:p w:rsidR="001670EC" w:rsidRDefault="00B240D8" w:rsidP="00701B50">
      <w:pPr>
        <w:jc w:val="center"/>
      </w:pPr>
      <w:r>
        <w:rPr>
          <w:noProof/>
        </w:rPr>
        <w:drawing>
          <wp:inline distT="0" distB="0" distL="0" distR="0">
            <wp:extent cx="4477877" cy="2747892"/>
            <wp:effectExtent l="11949" t="6103" r="5974"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70EC" w:rsidRDefault="001670EC" w:rsidP="00325939"/>
    <w:p w:rsidR="001670EC" w:rsidRDefault="001670EC" w:rsidP="00325939"/>
    <w:p w:rsidR="001670EC" w:rsidRDefault="001670EC" w:rsidP="00325939"/>
    <w:p w:rsidR="001670EC" w:rsidRPr="00325939" w:rsidRDefault="001670EC" w:rsidP="00325939"/>
    <w:p w:rsidR="001670EC" w:rsidRDefault="001670EC" w:rsidP="00E740AD">
      <w:pPr>
        <w:pStyle w:val="Heading2"/>
      </w:pPr>
      <w:bookmarkStart w:id="20" w:name="_Toc355250965"/>
      <w:r w:rsidRPr="00BF2D9D">
        <w:t xml:space="preserve">Figure </w:t>
      </w:r>
      <w:r>
        <w:t>10</w:t>
      </w:r>
      <w:r w:rsidRPr="00BF2D9D">
        <w:t xml:space="preserve">:  </w:t>
      </w:r>
      <w:r>
        <w:t>Trends for Asthma</w:t>
      </w:r>
      <w:bookmarkEnd w:id="20"/>
    </w:p>
    <w:p w:rsidR="001670EC" w:rsidRPr="00127194" w:rsidRDefault="00B240D8" w:rsidP="00127194">
      <w:r>
        <w:rPr>
          <w:noProof/>
        </w:rPr>
        <w:drawing>
          <wp:inline distT="0" distB="0" distL="0" distR="0">
            <wp:extent cx="5227585" cy="2669095"/>
            <wp:effectExtent l="12185" t="6052" r="7235" b="2648"/>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70EC" w:rsidRDefault="001670EC" w:rsidP="00325939"/>
    <w:p w:rsidR="001670EC" w:rsidRPr="00F77FAA" w:rsidRDefault="001670EC" w:rsidP="00325939">
      <w:r>
        <w:t>Asthma E</w:t>
      </w:r>
      <w:r w:rsidR="00C7605B">
        <w:t>R</w:t>
      </w:r>
      <w:r>
        <w:t xml:space="preserve"> visits 0-4 was a priority area in the last Community Health Assessment.  Although still an issue, this area has shown improvement over time.</w:t>
      </w:r>
    </w:p>
    <w:p w:rsidR="001670EC" w:rsidRPr="00325939" w:rsidRDefault="001670EC" w:rsidP="00325939"/>
    <w:p w:rsidR="001670EC" w:rsidRDefault="001670EC" w:rsidP="00631733">
      <w:pPr>
        <w:pStyle w:val="Heading2"/>
      </w:pPr>
      <w:bookmarkStart w:id="21" w:name="_Toc355250966"/>
      <w:r w:rsidRPr="00BF2D9D">
        <w:t xml:space="preserve">Figure </w:t>
      </w:r>
      <w:r>
        <w:t>11</w:t>
      </w:r>
      <w:r w:rsidRPr="00BF2D9D">
        <w:t xml:space="preserve">:  </w:t>
      </w:r>
      <w:r>
        <w:t>Trends for Cancer</w:t>
      </w:r>
      <w:bookmarkEnd w:id="21"/>
    </w:p>
    <w:p w:rsidR="001670EC" w:rsidRPr="00127194" w:rsidRDefault="00B240D8" w:rsidP="00127194">
      <w:r>
        <w:rPr>
          <w:noProof/>
        </w:rPr>
        <w:drawing>
          <wp:inline distT="0" distB="0" distL="0" distR="0">
            <wp:extent cx="5337306" cy="2963214"/>
            <wp:effectExtent l="12189" t="5973" r="6095" b="2613"/>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70EC" w:rsidRDefault="001670EC" w:rsidP="0016467B">
      <w:pPr>
        <w:jc w:val="center"/>
        <w:rPr>
          <w:sz w:val="36"/>
          <w:szCs w:val="36"/>
        </w:rPr>
      </w:pPr>
    </w:p>
    <w:p w:rsidR="001670EC" w:rsidRPr="00F000D9" w:rsidRDefault="001670EC" w:rsidP="00F000D9"/>
    <w:p w:rsidR="001670EC" w:rsidRDefault="001670EC" w:rsidP="00252525">
      <w:pPr>
        <w:pStyle w:val="Heading2"/>
      </w:pPr>
      <w:bookmarkStart w:id="22" w:name="_Toc355250967"/>
      <w:r w:rsidRPr="00BF2D9D">
        <w:t xml:space="preserve">Figure </w:t>
      </w:r>
      <w:r>
        <w:t>13</w:t>
      </w:r>
      <w:r w:rsidRPr="00BF2D9D">
        <w:t xml:space="preserve">:  </w:t>
      </w:r>
      <w:r>
        <w:t>Trends for Child Health</w:t>
      </w:r>
      <w:bookmarkEnd w:id="22"/>
    </w:p>
    <w:p w:rsidR="001670EC" w:rsidRPr="00127194" w:rsidRDefault="00B240D8" w:rsidP="00F000D9">
      <w:r>
        <w:rPr>
          <w:noProof/>
        </w:rPr>
        <w:drawing>
          <wp:inline distT="0" distB="0" distL="0" distR="0">
            <wp:extent cx="5337306" cy="2669095"/>
            <wp:effectExtent l="12189" t="6052" r="6095" b="2648"/>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70EC" w:rsidRPr="0011390E" w:rsidRDefault="001670EC" w:rsidP="00127194">
      <w:pPr>
        <w:rPr>
          <w:b/>
          <w:sz w:val="24"/>
          <w:szCs w:val="24"/>
        </w:rPr>
      </w:pPr>
    </w:p>
    <w:p w:rsidR="001670EC" w:rsidRDefault="001670EC" w:rsidP="00BA300B">
      <w:pPr>
        <w:pStyle w:val="Heading2"/>
      </w:pPr>
      <w:bookmarkStart w:id="23" w:name="_Toc355250968"/>
      <w:r w:rsidRPr="00BF2D9D">
        <w:t xml:space="preserve">Figure </w:t>
      </w:r>
      <w:r>
        <w:t>14</w:t>
      </w:r>
      <w:r w:rsidRPr="00BF2D9D">
        <w:t xml:space="preserve">:  </w:t>
      </w:r>
      <w:r>
        <w:t>Trends for Diabetes</w:t>
      </w:r>
      <w:bookmarkEnd w:id="23"/>
    </w:p>
    <w:p w:rsidR="001670EC" w:rsidRPr="00127194" w:rsidRDefault="00B240D8" w:rsidP="00127194">
      <w:r>
        <w:rPr>
          <w:noProof/>
        </w:rPr>
        <w:drawing>
          <wp:inline distT="0" distB="0" distL="0" distR="0">
            <wp:extent cx="5337306" cy="2669095"/>
            <wp:effectExtent l="12189" t="6052" r="6095" b="2648"/>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70EC" w:rsidRDefault="001670EC" w:rsidP="0016467B">
      <w:pPr>
        <w:jc w:val="center"/>
        <w:rPr>
          <w:b/>
          <w:sz w:val="24"/>
          <w:szCs w:val="24"/>
        </w:rPr>
      </w:pPr>
    </w:p>
    <w:p w:rsidR="001670EC" w:rsidRDefault="001670EC" w:rsidP="0011390E">
      <w:pPr>
        <w:rPr>
          <w:b/>
          <w:sz w:val="24"/>
          <w:szCs w:val="24"/>
        </w:rPr>
      </w:pPr>
    </w:p>
    <w:p w:rsidR="001670EC" w:rsidRDefault="001670EC" w:rsidP="0011390E">
      <w:pPr>
        <w:rPr>
          <w:b/>
          <w:sz w:val="24"/>
          <w:szCs w:val="24"/>
        </w:rPr>
      </w:pPr>
    </w:p>
    <w:p w:rsidR="001670EC" w:rsidRPr="008676EA" w:rsidRDefault="001670EC" w:rsidP="0016467B">
      <w:pPr>
        <w:jc w:val="center"/>
        <w:rPr>
          <w:b/>
          <w:sz w:val="24"/>
          <w:szCs w:val="24"/>
        </w:rPr>
      </w:pPr>
      <w:bookmarkStart w:id="24" w:name="_Toc355250969"/>
    </w:p>
    <w:p w:rsidR="001670EC" w:rsidRPr="008676EA" w:rsidRDefault="001670EC" w:rsidP="008676EA"/>
    <w:p w:rsidR="001670EC" w:rsidRDefault="001670EC" w:rsidP="00261FC3">
      <w:pPr>
        <w:pStyle w:val="Heading2"/>
      </w:pPr>
      <w:r w:rsidRPr="00BF2D9D">
        <w:t xml:space="preserve">Figure </w:t>
      </w:r>
      <w:r>
        <w:t>15</w:t>
      </w:r>
      <w:r w:rsidRPr="00BF2D9D">
        <w:t xml:space="preserve">:  </w:t>
      </w:r>
      <w:r>
        <w:t>Trends for Heart Disease and Stroke</w:t>
      </w:r>
      <w:bookmarkEnd w:id="24"/>
    </w:p>
    <w:p w:rsidR="001670EC" w:rsidRDefault="00B240D8" w:rsidP="0016467B">
      <w:pPr>
        <w:jc w:val="center"/>
        <w:rPr>
          <w:b/>
          <w:sz w:val="24"/>
          <w:szCs w:val="24"/>
        </w:rPr>
      </w:pPr>
      <w:r>
        <w:rPr>
          <w:b/>
          <w:noProof/>
          <w:sz w:val="24"/>
          <w:szCs w:val="24"/>
        </w:rPr>
        <w:drawing>
          <wp:inline distT="0" distB="0" distL="0" distR="0">
            <wp:extent cx="5337306" cy="2669095"/>
            <wp:effectExtent l="12189" t="6052" r="6095" b="2648"/>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70EC" w:rsidRPr="0011390E" w:rsidRDefault="001670EC" w:rsidP="0011390E"/>
    <w:p w:rsidR="001670EC" w:rsidRDefault="001670EC" w:rsidP="00CD5653">
      <w:pPr>
        <w:pStyle w:val="Heading2"/>
      </w:pPr>
      <w:bookmarkStart w:id="25" w:name="_Toc355250970"/>
      <w:r w:rsidRPr="00BF2D9D">
        <w:t xml:space="preserve">Figure </w:t>
      </w:r>
      <w:r>
        <w:t>16</w:t>
      </w:r>
      <w:r w:rsidRPr="00BF2D9D">
        <w:t xml:space="preserve">:  </w:t>
      </w:r>
      <w:r>
        <w:t>Trends for Injuries</w:t>
      </w:r>
      <w:bookmarkEnd w:id="25"/>
    </w:p>
    <w:p w:rsidR="001670EC" w:rsidRPr="00EB2890" w:rsidRDefault="00B240D8" w:rsidP="00EB2890">
      <w:r>
        <w:rPr>
          <w:noProof/>
        </w:rPr>
        <w:drawing>
          <wp:inline distT="0" distB="0" distL="0" distR="0">
            <wp:extent cx="5337306" cy="2669095"/>
            <wp:effectExtent l="12189" t="6052" r="6095" b="2648"/>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670EC" w:rsidRDefault="001670EC" w:rsidP="006A1D60">
      <w:pPr>
        <w:rPr>
          <w:b/>
          <w:sz w:val="24"/>
          <w:szCs w:val="24"/>
        </w:rPr>
      </w:pPr>
    </w:p>
    <w:p w:rsidR="001670EC" w:rsidRDefault="001670EC" w:rsidP="00F77FAA">
      <w:pPr>
        <w:jc w:val="center"/>
        <w:rPr>
          <w:b/>
          <w:sz w:val="24"/>
          <w:szCs w:val="24"/>
        </w:rPr>
      </w:pPr>
    </w:p>
    <w:p w:rsidR="001670EC" w:rsidRDefault="001670EC" w:rsidP="006A1D60">
      <w:pPr>
        <w:rPr>
          <w:b/>
          <w:sz w:val="24"/>
          <w:szCs w:val="24"/>
        </w:rPr>
      </w:pPr>
    </w:p>
    <w:p w:rsidR="001670EC" w:rsidRPr="00475274" w:rsidRDefault="001670EC" w:rsidP="0016467B">
      <w:pPr>
        <w:jc w:val="center"/>
        <w:rPr>
          <w:b/>
          <w:sz w:val="24"/>
          <w:szCs w:val="24"/>
        </w:rPr>
      </w:pPr>
    </w:p>
    <w:p w:rsidR="001670EC" w:rsidRDefault="001670EC" w:rsidP="006A1D60">
      <w:pPr>
        <w:rPr>
          <w:b/>
          <w:sz w:val="24"/>
          <w:szCs w:val="24"/>
        </w:rPr>
      </w:pPr>
    </w:p>
    <w:p w:rsidR="001670EC" w:rsidRDefault="001670EC" w:rsidP="009E5448">
      <w:pPr>
        <w:rPr>
          <w:rFonts w:ascii="Verdana" w:hAnsi="Verdana"/>
          <w:noProof/>
          <w:color w:val="000000"/>
          <w:sz w:val="14"/>
          <w:szCs w:val="14"/>
        </w:rPr>
      </w:pPr>
    </w:p>
    <w:p w:rsidR="001670EC" w:rsidRPr="005C484D" w:rsidRDefault="001670EC" w:rsidP="0016467B">
      <w:pPr>
        <w:jc w:val="center"/>
        <w:rPr>
          <w:b/>
          <w:sz w:val="24"/>
          <w:szCs w:val="24"/>
        </w:rPr>
      </w:pPr>
    </w:p>
    <w:p w:rsidR="001670EC" w:rsidRPr="00911BD3" w:rsidRDefault="001670EC" w:rsidP="00701B50">
      <w:pPr>
        <w:pStyle w:val="Heading2"/>
      </w:pPr>
      <w:bookmarkStart w:id="26" w:name="_Toc355250971"/>
      <w:r w:rsidRPr="00BF2D9D">
        <w:t xml:space="preserve">Figure </w:t>
      </w:r>
      <w:r>
        <w:t>17</w:t>
      </w:r>
      <w:r w:rsidRPr="00BF2D9D">
        <w:t xml:space="preserve">:  </w:t>
      </w:r>
      <w:r>
        <w:t>Trends for Mental Health</w:t>
      </w:r>
      <w:bookmarkEnd w:id="26"/>
    </w:p>
    <w:p w:rsidR="001670EC" w:rsidRPr="00911BD3" w:rsidRDefault="00B240D8" w:rsidP="009E5448">
      <w:pPr>
        <w:rPr>
          <w:b/>
          <w:sz w:val="24"/>
          <w:szCs w:val="24"/>
        </w:rPr>
      </w:pPr>
      <w:r>
        <w:rPr>
          <w:b/>
          <w:noProof/>
          <w:sz w:val="24"/>
          <w:szCs w:val="24"/>
        </w:rPr>
        <w:drawing>
          <wp:inline distT="0" distB="0" distL="0" distR="0">
            <wp:extent cx="5337306" cy="2669095"/>
            <wp:effectExtent l="12189" t="6052" r="6095" b="2648"/>
            <wp:docPr id="21" name="Picture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670EC" w:rsidRDefault="001670EC" w:rsidP="00512CDF">
      <w:pPr>
        <w:pStyle w:val="Heading2"/>
      </w:pPr>
      <w:bookmarkStart w:id="27" w:name="_Toc355250972"/>
      <w:r w:rsidRPr="00BF2D9D">
        <w:t xml:space="preserve">Figure </w:t>
      </w:r>
      <w:r>
        <w:t>18</w:t>
      </w:r>
      <w:r w:rsidRPr="00BF2D9D">
        <w:t xml:space="preserve">:  </w:t>
      </w:r>
      <w:r>
        <w:t>Trends for Substance Abuse</w:t>
      </w:r>
      <w:bookmarkEnd w:id="27"/>
    </w:p>
    <w:p w:rsidR="001670EC" w:rsidRPr="009E5448" w:rsidRDefault="00B240D8" w:rsidP="009E5448">
      <w:r>
        <w:rPr>
          <w:noProof/>
        </w:rPr>
        <w:drawing>
          <wp:inline distT="0" distB="0" distL="0" distR="0">
            <wp:extent cx="5337306" cy="2669095"/>
            <wp:effectExtent l="12189" t="6052" r="6095" b="2648"/>
            <wp:docPr id="22" name="Pictur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70EC" w:rsidRPr="00701B50" w:rsidRDefault="001670EC" w:rsidP="00701B50">
      <w:pPr>
        <w:rPr>
          <w:noProof/>
        </w:rPr>
      </w:pPr>
      <w:r w:rsidRPr="00701B50">
        <w:rPr>
          <w:noProof/>
        </w:rPr>
        <w:t>Although still a problem, this area is trending downwards</w:t>
      </w:r>
      <w:r>
        <w:rPr>
          <w:noProof/>
        </w:rPr>
        <w:t>.  There are active community coalitions addressing alcohol and substance abuse, and DWI.</w:t>
      </w:r>
    </w:p>
    <w:p w:rsidR="001670EC" w:rsidRPr="00701B50" w:rsidRDefault="001670EC" w:rsidP="00701B50">
      <w:pPr>
        <w:jc w:val="center"/>
        <w:rPr>
          <w:b/>
          <w:sz w:val="24"/>
          <w:szCs w:val="24"/>
        </w:rPr>
      </w:pPr>
    </w:p>
    <w:p w:rsidR="001670EC" w:rsidRDefault="001670EC" w:rsidP="00671908">
      <w:pPr>
        <w:pStyle w:val="Heading2"/>
      </w:pPr>
      <w:bookmarkStart w:id="28" w:name="_Toc355250973"/>
      <w:r w:rsidRPr="00BF2D9D">
        <w:t xml:space="preserve">Figure </w:t>
      </w:r>
      <w:r>
        <w:t>19</w:t>
      </w:r>
      <w:r w:rsidRPr="00BF2D9D">
        <w:t xml:space="preserve">:  </w:t>
      </w:r>
      <w:r>
        <w:t>Trends for Sexually Transmitted Diseases</w:t>
      </w:r>
      <w:bookmarkEnd w:id="28"/>
    </w:p>
    <w:p w:rsidR="001670EC" w:rsidRPr="009E5448" w:rsidRDefault="00B240D8" w:rsidP="009E5448">
      <w:pPr>
        <w:rPr>
          <w:b/>
          <w:sz w:val="24"/>
          <w:szCs w:val="24"/>
        </w:rPr>
      </w:pPr>
      <w:r>
        <w:rPr>
          <w:b/>
          <w:noProof/>
          <w:sz w:val="24"/>
          <w:szCs w:val="24"/>
        </w:rPr>
        <w:drawing>
          <wp:inline distT="0" distB="0" distL="0" distR="0">
            <wp:extent cx="5337306" cy="2669095"/>
            <wp:effectExtent l="12189" t="6052" r="6095" b="2648"/>
            <wp:docPr id="23" name="Picture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70EC" w:rsidRDefault="001670EC" w:rsidP="00F324BE">
      <w:pPr>
        <w:pStyle w:val="Heading2"/>
      </w:pPr>
      <w:bookmarkStart w:id="29" w:name="_Toc355250974"/>
      <w:r w:rsidRPr="00BF2D9D">
        <w:t xml:space="preserve">Figure </w:t>
      </w:r>
      <w:r>
        <w:t>20</w:t>
      </w:r>
      <w:r w:rsidRPr="00BF2D9D">
        <w:t xml:space="preserve">:  </w:t>
      </w:r>
      <w:r>
        <w:t>Trends for Teen Pregnancy</w:t>
      </w:r>
      <w:bookmarkEnd w:id="29"/>
    </w:p>
    <w:p w:rsidR="001670EC" w:rsidRPr="007D62D7" w:rsidRDefault="00B240D8" w:rsidP="00543079">
      <w:r>
        <w:rPr>
          <w:noProof/>
        </w:rPr>
        <w:drawing>
          <wp:inline distT="0" distB="0" distL="0" distR="0">
            <wp:extent cx="5337306" cy="2669095"/>
            <wp:effectExtent l="12189" t="6052" r="6095" b="2648"/>
            <wp:docPr id="24" name="Picture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70EC" w:rsidRDefault="001670EC" w:rsidP="0008325A">
      <w:pPr>
        <w:pStyle w:val="Heading2"/>
      </w:pPr>
      <w:bookmarkStart w:id="30" w:name="_Toc355250975"/>
    </w:p>
    <w:p w:rsidR="001670EC" w:rsidRPr="0008325A" w:rsidRDefault="001670EC" w:rsidP="00F77FAA">
      <w:pPr>
        <w:pStyle w:val="Heading2"/>
      </w:pPr>
      <w:r w:rsidRPr="00BF2D9D">
        <w:t xml:space="preserve">Figure </w:t>
      </w:r>
      <w:r>
        <w:t>21</w:t>
      </w:r>
      <w:r w:rsidRPr="00BF2D9D">
        <w:t xml:space="preserve">:  </w:t>
      </w:r>
      <w:r>
        <w:t>Trends for Maternal, Infant and Reproductive Health</w:t>
      </w:r>
      <w:bookmarkEnd w:id="30"/>
      <w:r w:rsidR="00B240D8">
        <w:rPr>
          <w:noProof/>
        </w:rPr>
        <w:drawing>
          <wp:inline distT="0" distB="0" distL="0" distR="0">
            <wp:extent cx="5807139" cy="2669095"/>
            <wp:effectExtent l="11961" t="6052" r="4485" b="2648"/>
            <wp:docPr id="25" name="Picture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670EC" w:rsidRPr="007D62D7" w:rsidRDefault="001670EC" w:rsidP="00C675E5">
      <w:pPr>
        <w:rPr>
          <w:b/>
          <w:sz w:val="24"/>
          <w:szCs w:val="24"/>
        </w:rPr>
      </w:pPr>
    </w:p>
    <w:p w:rsidR="001670EC" w:rsidRDefault="003D1A5F" w:rsidP="004B16E5">
      <w:pPr>
        <w:pStyle w:val="TOC2"/>
        <w:rPr>
          <w:noProof/>
        </w:rPr>
      </w:pPr>
      <w:hyperlink w:anchor="_Toc355250976" w:history="1">
        <w:r w:rsidR="001670EC" w:rsidRPr="00A27EFF">
          <w:rPr>
            <w:rStyle w:val="Hyperlink"/>
            <w:noProof/>
          </w:rPr>
          <w:t>Table 1: County Health Rankings, Outcomes and Factors for Selected NYS Counties</w:t>
        </w:r>
        <w:r w:rsidR="001670EC">
          <w:rPr>
            <w:noProof/>
            <w:webHidden/>
          </w:rPr>
          <w:tab/>
        </w:r>
        <w:r>
          <w:rPr>
            <w:noProof/>
            <w:webHidden/>
          </w:rPr>
          <w:fldChar w:fldCharType="begin"/>
        </w:r>
        <w:r w:rsidR="001670EC">
          <w:rPr>
            <w:noProof/>
            <w:webHidden/>
          </w:rPr>
          <w:instrText xml:space="preserve"> PAGEREF _Toc355250976 \h </w:instrText>
        </w:r>
        <w:r>
          <w:rPr>
            <w:noProof/>
            <w:webHidden/>
          </w:rPr>
        </w:r>
        <w:r>
          <w:rPr>
            <w:noProof/>
            <w:webHidden/>
          </w:rPr>
          <w:fldChar w:fldCharType="separate"/>
        </w:r>
        <w:r w:rsidR="001670EC">
          <w:rPr>
            <w:noProof/>
            <w:webHidden/>
          </w:rPr>
          <w:t>40</w:t>
        </w:r>
        <w:r>
          <w:rPr>
            <w:noProof/>
            <w:webHidden/>
          </w:rPr>
          <w:fldChar w:fldCharType="end"/>
        </w:r>
      </w:hyperlink>
    </w:p>
    <w:p w:rsidR="001670EC" w:rsidRDefault="003D1A5F" w:rsidP="004B16E5">
      <w:pPr>
        <w:pStyle w:val="TOC2"/>
      </w:pPr>
      <w:hyperlink w:anchor="_Toc355250977" w:history="1">
        <w:r w:rsidR="001670EC" w:rsidRPr="00A27EFF">
          <w:rPr>
            <w:rStyle w:val="Hyperlink"/>
            <w:noProof/>
          </w:rPr>
          <w:t xml:space="preserve">Table 1A: </w:t>
        </w:r>
        <w:r w:rsidR="001670EC">
          <w:rPr>
            <w:rStyle w:val="Hyperlink"/>
            <w:noProof/>
          </w:rPr>
          <w:t xml:space="preserve">Fulton </w:t>
        </w:r>
        <w:r w:rsidR="001670EC" w:rsidRPr="00A27EFF">
          <w:rPr>
            <w:rStyle w:val="Hyperlink"/>
            <w:noProof/>
          </w:rPr>
          <w:t>County Comparison of Outcomes/Factors to State and Regional Rankings</w:t>
        </w:r>
        <w:r w:rsidR="001670EC">
          <w:rPr>
            <w:noProof/>
            <w:webHidden/>
          </w:rPr>
          <w:tab/>
        </w:r>
        <w:r>
          <w:rPr>
            <w:noProof/>
            <w:webHidden/>
          </w:rPr>
          <w:fldChar w:fldCharType="begin"/>
        </w:r>
        <w:r w:rsidR="001670EC">
          <w:rPr>
            <w:noProof/>
            <w:webHidden/>
          </w:rPr>
          <w:instrText xml:space="preserve"> PAGEREF _Toc355250977 \h </w:instrText>
        </w:r>
        <w:r>
          <w:rPr>
            <w:noProof/>
            <w:webHidden/>
          </w:rPr>
        </w:r>
        <w:r>
          <w:rPr>
            <w:noProof/>
            <w:webHidden/>
          </w:rPr>
          <w:fldChar w:fldCharType="separate"/>
        </w:r>
        <w:r w:rsidR="001670EC">
          <w:rPr>
            <w:noProof/>
            <w:webHidden/>
          </w:rPr>
          <w:t>40</w:t>
        </w:r>
        <w:r>
          <w:rPr>
            <w:noProof/>
            <w:webHidden/>
          </w:rPr>
          <w:fldChar w:fldCharType="end"/>
        </w:r>
      </w:hyperlink>
    </w:p>
    <w:p w:rsidR="001670EC" w:rsidRPr="00051645" w:rsidRDefault="003D1A5F" w:rsidP="004B16E5">
      <w:pPr>
        <w:pStyle w:val="TOC2"/>
      </w:pPr>
      <w:hyperlink w:anchor="_Toc355250977" w:history="1">
        <w:r w:rsidR="001670EC" w:rsidRPr="00A27EFF">
          <w:rPr>
            <w:rStyle w:val="Hyperlink"/>
            <w:noProof/>
          </w:rPr>
          <w:t>Table 1</w:t>
        </w:r>
        <w:r w:rsidR="001670EC">
          <w:rPr>
            <w:rStyle w:val="Hyperlink"/>
            <w:noProof/>
          </w:rPr>
          <w:t>B</w:t>
        </w:r>
        <w:r w:rsidR="001670EC" w:rsidRPr="00A27EFF">
          <w:rPr>
            <w:rStyle w:val="Hyperlink"/>
            <w:noProof/>
          </w:rPr>
          <w:t xml:space="preserve">: </w:t>
        </w:r>
        <w:r w:rsidR="001670EC">
          <w:rPr>
            <w:rStyle w:val="Hyperlink"/>
            <w:noProof/>
          </w:rPr>
          <w:t xml:space="preserve">Montogmery </w:t>
        </w:r>
        <w:r w:rsidR="001670EC" w:rsidRPr="00A27EFF">
          <w:rPr>
            <w:rStyle w:val="Hyperlink"/>
            <w:noProof/>
          </w:rPr>
          <w:t>County Comparison of Outcomes/Factors to State and Regional Rankings</w:t>
        </w:r>
        <w:r w:rsidR="001670EC">
          <w:rPr>
            <w:noProof/>
            <w:webHidden/>
          </w:rPr>
          <w:tab/>
        </w:r>
        <w:r>
          <w:rPr>
            <w:noProof/>
            <w:webHidden/>
          </w:rPr>
          <w:fldChar w:fldCharType="begin"/>
        </w:r>
        <w:r w:rsidR="001670EC">
          <w:rPr>
            <w:noProof/>
            <w:webHidden/>
          </w:rPr>
          <w:instrText xml:space="preserve"> PAGEREF _Toc355250977 \h </w:instrText>
        </w:r>
        <w:r>
          <w:rPr>
            <w:noProof/>
            <w:webHidden/>
          </w:rPr>
        </w:r>
        <w:r>
          <w:rPr>
            <w:noProof/>
            <w:webHidden/>
          </w:rPr>
          <w:fldChar w:fldCharType="separate"/>
        </w:r>
        <w:r w:rsidR="001670EC">
          <w:rPr>
            <w:noProof/>
            <w:webHidden/>
          </w:rPr>
          <w:t>41</w:t>
        </w:r>
        <w:r>
          <w:rPr>
            <w:noProof/>
            <w:webHidden/>
          </w:rPr>
          <w:fldChar w:fldCharType="end"/>
        </w:r>
      </w:hyperlink>
    </w:p>
    <w:p w:rsidR="001670EC" w:rsidRDefault="003D1A5F" w:rsidP="004B16E5">
      <w:pPr>
        <w:pStyle w:val="TOC2"/>
        <w:rPr>
          <w:noProof/>
        </w:rPr>
      </w:pPr>
      <w:hyperlink w:anchor="_Toc355250978" w:history="1">
        <w:r w:rsidR="001670EC" w:rsidRPr="00A27EFF">
          <w:rPr>
            <w:rStyle w:val="Hyperlink"/>
            <w:noProof/>
          </w:rPr>
          <w:t xml:space="preserve">Table 2: </w:t>
        </w:r>
        <w:r w:rsidR="001670EC">
          <w:rPr>
            <w:rStyle w:val="Hyperlink"/>
            <w:noProof/>
          </w:rPr>
          <w:t xml:space="preserve"> </w:t>
        </w:r>
        <w:r w:rsidR="001670EC" w:rsidRPr="00A27EFF">
          <w:rPr>
            <w:rStyle w:val="Hyperlink"/>
            <w:noProof/>
          </w:rPr>
          <w:t>County Health Rankings, Factors-Focus Areas for Selected NYS Counties</w:t>
        </w:r>
        <w:r w:rsidR="001670EC">
          <w:rPr>
            <w:noProof/>
            <w:webHidden/>
          </w:rPr>
          <w:tab/>
        </w:r>
        <w:r>
          <w:rPr>
            <w:noProof/>
            <w:webHidden/>
          </w:rPr>
          <w:fldChar w:fldCharType="begin"/>
        </w:r>
        <w:r w:rsidR="001670EC">
          <w:rPr>
            <w:noProof/>
            <w:webHidden/>
          </w:rPr>
          <w:instrText xml:space="preserve"> PAGEREF _Toc355250978 \h </w:instrText>
        </w:r>
        <w:r>
          <w:rPr>
            <w:noProof/>
            <w:webHidden/>
          </w:rPr>
        </w:r>
        <w:r>
          <w:rPr>
            <w:noProof/>
            <w:webHidden/>
          </w:rPr>
          <w:fldChar w:fldCharType="separate"/>
        </w:r>
        <w:r w:rsidR="001670EC">
          <w:rPr>
            <w:noProof/>
            <w:webHidden/>
          </w:rPr>
          <w:t>42</w:t>
        </w:r>
        <w:r>
          <w:rPr>
            <w:noProof/>
            <w:webHidden/>
          </w:rPr>
          <w:fldChar w:fldCharType="end"/>
        </w:r>
      </w:hyperlink>
    </w:p>
    <w:p w:rsidR="001670EC" w:rsidRDefault="003D1A5F" w:rsidP="004B16E5">
      <w:pPr>
        <w:pStyle w:val="TOC2"/>
        <w:rPr>
          <w:noProof/>
        </w:rPr>
      </w:pPr>
      <w:hyperlink w:anchor="_Toc355250979" w:history="1">
        <w:r w:rsidR="001670EC" w:rsidRPr="00A27EFF">
          <w:rPr>
            <w:rStyle w:val="Hyperlink"/>
            <w:noProof/>
          </w:rPr>
          <w:t>Table 2</w:t>
        </w:r>
        <w:r w:rsidR="001670EC">
          <w:rPr>
            <w:rStyle w:val="Hyperlink"/>
            <w:noProof/>
          </w:rPr>
          <w:t>A</w:t>
        </w:r>
        <w:r w:rsidR="001670EC" w:rsidRPr="00A27EFF">
          <w:rPr>
            <w:rStyle w:val="Hyperlink"/>
            <w:noProof/>
          </w:rPr>
          <w:t xml:space="preserve">: </w:t>
        </w:r>
        <w:r w:rsidR="001670EC">
          <w:rPr>
            <w:rStyle w:val="Hyperlink"/>
            <w:noProof/>
          </w:rPr>
          <w:t xml:space="preserve">Fulton </w:t>
        </w:r>
        <w:r w:rsidR="001670EC" w:rsidRPr="00A27EFF">
          <w:rPr>
            <w:rStyle w:val="Hyperlink"/>
            <w:noProof/>
          </w:rPr>
          <w:t>County Comparison of Factors/Focus Areas to State and Regional Rankings</w:t>
        </w:r>
        <w:r w:rsidR="001670EC">
          <w:rPr>
            <w:noProof/>
            <w:webHidden/>
          </w:rPr>
          <w:tab/>
        </w:r>
        <w:r>
          <w:rPr>
            <w:noProof/>
            <w:webHidden/>
          </w:rPr>
          <w:fldChar w:fldCharType="begin"/>
        </w:r>
        <w:r w:rsidR="001670EC">
          <w:rPr>
            <w:noProof/>
            <w:webHidden/>
          </w:rPr>
          <w:instrText xml:space="preserve"> PAGEREF _Toc355250979 \h </w:instrText>
        </w:r>
        <w:r>
          <w:rPr>
            <w:noProof/>
            <w:webHidden/>
          </w:rPr>
        </w:r>
        <w:r>
          <w:rPr>
            <w:noProof/>
            <w:webHidden/>
          </w:rPr>
          <w:fldChar w:fldCharType="separate"/>
        </w:r>
        <w:r w:rsidR="001670EC">
          <w:rPr>
            <w:noProof/>
            <w:webHidden/>
          </w:rPr>
          <w:t>43</w:t>
        </w:r>
        <w:r>
          <w:rPr>
            <w:noProof/>
            <w:webHidden/>
          </w:rPr>
          <w:fldChar w:fldCharType="end"/>
        </w:r>
      </w:hyperlink>
    </w:p>
    <w:p w:rsidR="001670EC" w:rsidRDefault="003D1A5F" w:rsidP="004B16E5">
      <w:pPr>
        <w:pStyle w:val="TOC2"/>
        <w:rPr>
          <w:noProof/>
        </w:rPr>
      </w:pPr>
      <w:hyperlink w:anchor="_Toc355250979" w:history="1">
        <w:r w:rsidR="001670EC" w:rsidRPr="00A27EFF">
          <w:rPr>
            <w:rStyle w:val="Hyperlink"/>
            <w:noProof/>
          </w:rPr>
          <w:t>Table 2</w:t>
        </w:r>
        <w:r w:rsidR="001670EC">
          <w:rPr>
            <w:rStyle w:val="Hyperlink"/>
            <w:noProof/>
          </w:rPr>
          <w:t>B</w:t>
        </w:r>
        <w:r w:rsidR="001670EC" w:rsidRPr="00A27EFF">
          <w:rPr>
            <w:rStyle w:val="Hyperlink"/>
            <w:noProof/>
          </w:rPr>
          <w:t xml:space="preserve">: </w:t>
        </w:r>
        <w:r w:rsidR="001670EC">
          <w:rPr>
            <w:rStyle w:val="Hyperlink"/>
            <w:noProof/>
          </w:rPr>
          <w:t xml:space="preserve">Montgomery </w:t>
        </w:r>
        <w:r w:rsidR="001670EC" w:rsidRPr="00A27EFF">
          <w:rPr>
            <w:rStyle w:val="Hyperlink"/>
            <w:noProof/>
          </w:rPr>
          <w:t>County Comparison of Factors/Focus Areas to State and Regional Rankings</w:t>
        </w:r>
        <w:r w:rsidR="001670EC">
          <w:rPr>
            <w:noProof/>
            <w:webHidden/>
          </w:rPr>
          <w:tab/>
        </w:r>
        <w:r>
          <w:rPr>
            <w:noProof/>
            <w:webHidden/>
          </w:rPr>
          <w:fldChar w:fldCharType="begin"/>
        </w:r>
        <w:r w:rsidR="001670EC">
          <w:rPr>
            <w:noProof/>
            <w:webHidden/>
          </w:rPr>
          <w:instrText xml:space="preserve"> PAGEREF _Toc355250979 \h </w:instrText>
        </w:r>
        <w:r>
          <w:rPr>
            <w:noProof/>
            <w:webHidden/>
          </w:rPr>
        </w:r>
        <w:r>
          <w:rPr>
            <w:noProof/>
            <w:webHidden/>
          </w:rPr>
          <w:fldChar w:fldCharType="separate"/>
        </w:r>
        <w:r w:rsidR="001670EC">
          <w:rPr>
            <w:noProof/>
            <w:webHidden/>
          </w:rPr>
          <w:t>44</w:t>
        </w:r>
        <w:r>
          <w:rPr>
            <w:noProof/>
            <w:webHidden/>
          </w:rPr>
          <w:fldChar w:fldCharType="end"/>
        </w:r>
      </w:hyperlink>
    </w:p>
    <w:p w:rsidR="001670EC" w:rsidRDefault="003D1A5F" w:rsidP="004B16E5">
      <w:pPr>
        <w:pStyle w:val="TOC2"/>
      </w:pPr>
      <w:hyperlink w:anchor="_Toc355250980" w:history="1">
        <w:r w:rsidR="001670EC" w:rsidRPr="00A27EFF">
          <w:rPr>
            <w:rStyle w:val="Hyperlink"/>
            <w:noProof/>
          </w:rPr>
          <w:t>Table 3</w:t>
        </w:r>
        <w:r w:rsidR="001670EC">
          <w:rPr>
            <w:rStyle w:val="Hyperlink"/>
            <w:noProof/>
          </w:rPr>
          <w:t>A</w:t>
        </w:r>
        <w:r w:rsidR="001670EC" w:rsidRPr="00A27EFF">
          <w:rPr>
            <w:rStyle w:val="Hyperlink"/>
            <w:noProof/>
          </w:rPr>
          <w:t xml:space="preserve">: Leading Causes of Death in </w:t>
        </w:r>
        <w:r w:rsidR="001670EC">
          <w:rPr>
            <w:rStyle w:val="Hyperlink"/>
            <w:noProof/>
          </w:rPr>
          <w:t xml:space="preserve"> Fulton </w:t>
        </w:r>
        <w:r w:rsidR="001670EC" w:rsidRPr="00A27EFF">
          <w:rPr>
            <w:rStyle w:val="Hyperlink"/>
            <w:noProof/>
          </w:rPr>
          <w:t>County</w:t>
        </w:r>
        <w:r w:rsidR="001670EC">
          <w:rPr>
            <w:noProof/>
            <w:webHidden/>
          </w:rPr>
          <w:tab/>
        </w:r>
        <w:r>
          <w:rPr>
            <w:noProof/>
            <w:webHidden/>
          </w:rPr>
          <w:fldChar w:fldCharType="begin"/>
        </w:r>
        <w:r w:rsidR="001670EC">
          <w:rPr>
            <w:noProof/>
            <w:webHidden/>
          </w:rPr>
          <w:instrText xml:space="preserve"> PAGEREF _Toc355250980 \h </w:instrText>
        </w:r>
        <w:r>
          <w:rPr>
            <w:noProof/>
            <w:webHidden/>
          </w:rPr>
        </w:r>
        <w:r>
          <w:rPr>
            <w:noProof/>
            <w:webHidden/>
          </w:rPr>
          <w:fldChar w:fldCharType="separate"/>
        </w:r>
        <w:r w:rsidR="001670EC">
          <w:rPr>
            <w:noProof/>
            <w:webHidden/>
          </w:rPr>
          <w:t>45</w:t>
        </w:r>
        <w:r>
          <w:rPr>
            <w:noProof/>
            <w:webHidden/>
          </w:rPr>
          <w:fldChar w:fldCharType="end"/>
        </w:r>
      </w:hyperlink>
    </w:p>
    <w:p w:rsidR="001670EC" w:rsidRDefault="001670EC" w:rsidP="004B16E5">
      <w:pPr>
        <w:pStyle w:val="TOC2"/>
      </w:pPr>
      <w:r>
        <w:t xml:space="preserve"> </w:t>
      </w:r>
      <w:hyperlink w:anchor="_Toc355250980" w:history="1">
        <w:r w:rsidRPr="00A27EFF">
          <w:rPr>
            <w:rStyle w:val="Hyperlink"/>
            <w:noProof/>
          </w:rPr>
          <w:t>Table 3</w:t>
        </w:r>
        <w:r>
          <w:rPr>
            <w:rStyle w:val="Hyperlink"/>
            <w:noProof/>
          </w:rPr>
          <w:t>B</w:t>
        </w:r>
        <w:r w:rsidRPr="00A27EFF">
          <w:rPr>
            <w:rStyle w:val="Hyperlink"/>
            <w:noProof/>
          </w:rPr>
          <w:t xml:space="preserve">: Leading Causes of Death in </w:t>
        </w:r>
        <w:r>
          <w:rPr>
            <w:rStyle w:val="Hyperlink"/>
            <w:noProof/>
          </w:rPr>
          <w:t xml:space="preserve"> Montgomery </w:t>
        </w:r>
        <w:r w:rsidRPr="00A27EFF">
          <w:rPr>
            <w:rStyle w:val="Hyperlink"/>
            <w:noProof/>
          </w:rPr>
          <w:t>County</w:t>
        </w:r>
        <w:r>
          <w:rPr>
            <w:noProof/>
            <w:webHidden/>
          </w:rPr>
          <w:tab/>
        </w:r>
        <w:r w:rsidR="003D1A5F">
          <w:rPr>
            <w:noProof/>
            <w:webHidden/>
          </w:rPr>
          <w:fldChar w:fldCharType="begin"/>
        </w:r>
        <w:r>
          <w:rPr>
            <w:noProof/>
            <w:webHidden/>
          </w:rPr>
          <w:instrText xml:space="preserve"> PAGEREF _Toc355250980 \h </w:instrText>
        </w:r>
        <w:r w:rsidR="003D1A5F">
          <w:rPr>
            <w:noProof/>
            <w:webHidden/>
          </w:rPr>
        </w:r>
        <w:r w:rsidR="003D1A5F">
          <w:rPr>
            <w:noProof/>
            <w:webHidden/>
          </w:rPr>
          <w:fldChar w:fldCharType="separate"/>
        </w:r>
        <w:r>
          <w:rPr>
            <w:noProof/>
            <w:webHidden/>
          </w:rPr>
          <w:t>45</w:t>
        </w:r>
        <w:r w:rsidR="003D1A5F">
          <w:rPr>
            <w:noProof/>
            <w:webHidden/>
          </w:rPr>
          <w:fldChar w:fldCharType="end"/>
        </w:r>
      </w:hyperlink>
    </w:p>
    <w:p w:rsidR="001670EC" w:rsidRDefault="003D1A5F" w:rsidP="004B16E5">
      <w:pPr>
        <w:pStyle w:val="TOC2"/>
        <w:rPr>
          <w:noProof/>
        </w:rPr>
      </w:pPr>
      <w:hyperlink w:anchor="_Toc355250981" w:history="1">
        <w:r w:rsidR="001670EC" w:rsidRPr="00A27EFF">
          <w:rPr>
            <w:rStyle w:val="Hyperlink"/>
            <w:noProof/>
          </w:rPr>
          <w:t xml:space="preserve">Table </w:t>
        </w:r>
        <w:r w:rsidR="001670EC">
          <w:rPr>
            <w:rStyle w:val="Hyperlink"/>
            <w:noProof/>
          </w:rPr>
          <w:t>4</w:t>
        </w:r>
        <w:r w:rsidR="001670EC" w:rsidRPr="00A27EFF">
          <w:rPr>
            <w:rStyle w:val="Hyperlink"/>
            <w:noProof/>
          </w:rPr>
          <w:t>: Leading Causes of Premature Death for Counties in the Greater Region</w:t>
        </w:r>
        <w:r w:rsidR="001670EC">
          <w:rPr>
            <w:noProof/>
            <w:webHidden/>
          </w:rPr>
          <w:tab/>
        </w:r>
        <w:r>
          <w:rPr>
            <w:noProof/>
            <w:webHidden/>
          </w:rPr>
          <w:fldChar w:fldCharType="begin"/>
        </w:r>
        <w:r w:rsidR="001670EC">
          <w:rPr>
            <w:noProof/>
            <w:webHidden/>
          </w:rPr>
          <w:instrText xml:space="preserve"> PAGEREF _Toc355250981 \h </w:instrText>
        </w:r>
        <w:r>
          <w:rPr>
            <w:noProof/>
            <w:webHidden/>
          </w:rPr>
        </w:r>
        <w:r>
          <w:rPr>
            <w:noProof/>
            <w:webHidden/>
          </w:rPr>
          <w:fldChar w:fldCharType="separate"/>
        </w:r>
        <w:r w:rsidR="001670EC">
          <w:rPr>
            <w:noProof/>
            <w:webHidden/>
          </w:rPr>
          <w:t>46</w:t>
        </w:r>
        <w:r>
          <w:rPr>
            <w:noProof/>
            <w:webHidden/>
          </w:rPr>
          <w:fldChar w:fldCharType="end"/>
        </w:r>
      </w:hyperlink>
    </w:p>
    <w:p w:rsidR="001670EC" w:rsidRDefault="003D1A5F" w:rsidP="004B16E5">
      <w:pPr>
        <w:pStyle w:val="TOC2"/>
        <w:rPr>
          <w:noProof/>
        </w:rPr>
      </w:pPr>
      <w:hyperlink w:anchor="_Toc355250982" w:history="1">
        <w:r w:rsidR="001670EC" w:rsidRPr="00A27EFF">
          <w:rPr>
            <w:rStyle w:val="Hyperlink"/>
            <w:noProof/>
          </w:rPr>
          <w:t xml:space="preserve">Table </w:t>
        </w:r>
        <w:r w:rsidR="001670EC">
          <w:rPr>
            <w:rStyle w:val="Hyperlink"/>
            <w:noProof/>
          </w:rPr>
          <w:t>5</w:t>
        </w:r>
        <w:r w:rsidR="001670EC" w:rsidRPr="00A27EFF">
          <w:rPr>
            <w:rStyle w:val="Hyperlink"/>
            <w:noProof/>
          </w:rPr>
          <w:t>: Health Needs Priority Rankings</w:t>
        </w:r>
        <w:r w:rsidR="001670EC">
          <w:rPr>
            <w:noProof/>
            <w:webHidden/>
          </w:rPr>
          <w:tab/>
        </w:r>
        <w:r>
          <w:rPr>
            <w:noProof/>
            <w:webHidden/>
          </w:rPr>
          <w:fldChar w:fldCharType="begin"/>
        </w:r>
        <w:r w:rsidR="001670EC">
          <w:rPr>
            <w:noProof/>
            <w:webHidden/>
          </w:rPr>
          <w:instrText xml:space="preserve"> PAGEREF _Toc355250982 \h </w:instrText>
        </w:r>
        <w:r>
          <w:rPr>
            <w:noProof/>
            <w:webHidden/>
          </w:rPr>
        </w:r>
        <w:r>
          <w:rPr>
            <w:noProof/>
            <w:webHidden/>
          </w:rPr>
          <w:fldChar w:fldCharType="separate"/>
        </w:r>
        <w:r w:rsidR="001670EC">
          <w:rPr>
            <w:noProof/>
            <w:webHidden/>
          </w:rPr>
          <w:t>47</w:t>
        </w:r>
        <w:r>
          <w:rPr>
            <w:noProof/>
            <w:webHidden/>
          </w:rPr>
          <w:fldChar w:fldCharType="end"/>
        </w:r>
      </w:hyperlink>
    </w:p>
    <w:p w:rsidR="001670EC" w:rsidRDefault="003D1A5F" w:rsidP="004B16E5">
      <w:pPr>
        <w:pStyle w:val="TOC2"/>
        <w:rPr>
          <w:noProof/>
        </w:rPr>
      </w:pPr>
      <w:hyperlink w:anchor="_Toc355250983" w:history="1">
        <w:r w:rsidR="001670EC" w:rsidRPr="00A27EFF">
          <w:rPr>
            <w:rStyle w:val="Hyperlink"/>
            <w:noProof/>
          </w:rPr>
          <w:t xml:space="preserve">Table </w:t>
        </w:r>
        <w:r w:rsidR="001670EC">
          <w:rPr>
            <w:rStyle w:val="Hyperlink"/>
            <w:noProof/>
          </w:rPr>
          <w:t>6</w:t>
        </w:r>
        <w:r w:rsidR="001670EC" w:rsidRPr="00A27EFF">
          <w:rPr>
            <w:rStyle w:val="Hyperlink"/>
            <w:noProof/>
          </w:rPr>
          <w:t>: Health Indicator Trend Data</w:t>
        </w:r>
        <w:r w:rsidR="001670EC">
          <w:rPr>
            <w:noProof/>
            <w:webHidden/>
          </w:rPr>
          <w:tab/>
        </w:r>
        <w:r>
          <w:rPr>
            <w:noProof/>
            <w:webHidden/>
          </w:rPr>
          <w:fldChar w:fldCharType="begin"/>
        </w:r>
        <w:r w:rsidR="001670EC">
          <w:rPr>
            <w:noProof/>
            <w:webHidden/>
          </w:rPr>
          <w:instrText xml:space="preserve"> PAGEREF _Toc355250983 \h </w:instrText>
        </w:r>
        <w:r>
          <w:rPr>
            <w:noProof/>
            <w:webHidden/>
          </w:rPr>
        </w:r>
        <w:r>
          <w:rPr>
            <w:noProof/>
            <w:webHidden/>
          </w:rPr>
          <w:fldChar w:fldCharType="separate"/>
        </w:r>
        <w:r w:rsidR="001670EC">
          <w:rPr>
            <w:noProof/>
            <w:webHidden/>
          </w:rPr>
          <w:t>48</w:t>
        </w:r>
        <w:r>
          <w:rPr>
            <w:noProof/>
            <w:webHidden/>
          </w:rPr>
          <w:fldChar w:fldCharType="end"/>
        </w:r>
      </w:hyperlink>
    </w:p>
    <w:p w:rsidR="001670EC" w:rsidRDefault="003D1A5F" w:rsidP="004B16E5">
      <w:pPr>
        <w:pStyle w:val="TOC2"/>
        <w:rPr>
          <w:noProof/>
        </w:rPr>
      </w:pPr>
      <w:hyperlink w:anchor="_Toc355250984" w:history="1">
        <w:r w:rsidR="001670EC">
          <w:rPr>
            <w:rStyle w:val="Hyperlink"/>
            <w:noProof/>
          </w:rPr>
          <w:t>Table 7</w:t>
        </w:r>
        <w:r w:rsidR="001670EC" w:rsidRPr="00A27EFF">
          <w:rPr>
            <w:rStyle w:val="Hyperlink"/>
            <w:noProof/>
          </w:rPr>
          <w:t>: Health Indicator Measures and Benchmarks</w:t>
        </w:r>
        <w:r w:rsidR="001670EC">
          <w:rPr>
            <w:noProof/>
            <w:webHidden/>
          </w:rPr>
          <w:tab/>
          <w:t>62</w:t>
        </w:r>
      </w:hyperlink>
    </w:p>
    <w:p w:rsidR="001670EC" w:rsidRDefault="003D1A5F" w:rsidP="004B16E5">
      <w:pPr>
        <w:pStyle w:val="TOC2"/>
        <w:rPr>
          <w:noProof/>
        </w:rPr>
      </w:pPr>
      <w:hyperlink w:anchor="_Toc355250985" w:history="1">
        <w:r w:rsidR="001670EC" w:rsidRPr="00A27EFF">
          <w:rPr>
            <w:rStyle w:val="Hyperlink"/>
            <w:noProof/>
          </w:rPr>
          <w:t xml:space="preserve">Table </w:t>
        </w:r>
        <w:r w:rsidR="001670EC">
          <w:rPr>
            <w:rStyle w:val="Hyperlink"/>
            <w:noProof/>
          </w:rPr>
          <w:t>8</w:t>
        </w:r>
        <w:r w:rsidR="001670EC" w:rsidRPr="00A27EFF">
          <w:rPr>
            <w:rStyle w:val="Hyperlink"/>
            <w:noProof/>
          </w:rPr>
          <w:t>: Health Indicator Data Analysis</w:t>
        </w:r>
        <w:r w:rsidR="001670EC">
          <w:rPr>
            <w:noProof/>
            <w:webHidden/>
          </w:rPr>
          <w:tab/>
        </w:r>
        <w:r>
          <w:rPr>
            <w:noProof/>
            <w:webHidden/>
          </w:rPr>
          <w:fldChar w:fldCharType="begin"/>
        </w:r>
        <w:r w:rsidR="001670EC">
          <w:rPr>
            <w:noProof/>
            <w:webHidden/>
          </w:rPr>
          <w:instrText xml:space="preserve"> PAGEREF _Toc355250985 \h </w:instrText>
        </w:r>
        <w:r>
          <w:rPr>
            <w:noProof/>
            <w:webHidden/>
          </w:rPr>
        </w:r>
        <w:r>
          <w:rPr>
            <w:noProof/>
            <w:webHidden/>
          </w:rPr>
          <w:fldChar w:fldCharType="separate"/>
        </w:r>
        <w:r w:rsidR="001670EC">
          <w:rPr>
            <w:noProof/>
            <w:webHidden/>
          </w:rPr>
          <w:t>82</w:t>
        </w:r>
        <w:r>
          <w:rPr>
            <w:noProof/>
            <w:webHidden/>
          </w:rPr>
          <w:fldChar w:fldCharType="end"/>
        </w:r>
      </w:hyperlink>
    </w:p>
    <w:p w:rsidR="001670EC" w:rsidRDefault="001670EC" w:rsidP="00054522">
      <w:pPr>
        <w:pStyle w:val="Heading2"/>
      </w:pPr>
      <w:bookmarkStart w:id="31" w:name="_Toc355250976"/>
    </w:p>
    <w:p w:rsidR="001670EC" w:rsidRDefault="001670EC" w:rsidP="00701B50"/>
    <w:p w:rsidR="001670EC" w:rsidRDefault="001670EC" w:rsidP="00701B50"/>
    <w:p w:rsidR="001670EC" w:rsidRPr="00701B50" w:rsidRDefault="001670EC" w:rsidP="00701B50"/>
    <w:p w:rsidR="001670EC" w:rsidRPr="00620C7B" w:rsidRDefault="001670EC" w:rsidP="00620C7B">
      <w:pPr>
        <w:pStyle w:val="Heading2"/>
      </w:pPr>
      <w:r w:rsidRPr="00054522">
        <w:t>Table 1: County Health Rankings, Outcomes and Factors for Selected NYS Counties</w:t>
      </w:r>
      <w:bookmarkEnd w:id="31"/>
    </w:p>
    <w:tbl>
      <w:tblPr>
        <w:tblW w:w="100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1"/>
        <w:gridCol w:w="1120"/>
        <w:gridCol w:w="1240"/>
        <w:gridCol w:w="1420"/>
        <w:gridCol w:w="1540"/>
        <w:gridCol w:w="1780"/>
        <w:gridCol w:w="1540"/>
      </w:tblGrid>
      <w:tr w:rsidR="001670EC" w:rsidRPr="00680D98" w:rsidTr="00210178">
        <w:trPr>
          <w:trHeight w:val="645"/>
        </w:trPr>
        <w:tc>
          <w:tcPr>
            <w:tcW w:w="1391" w:type="dxa"/>
            <w:noWrap/>
            <w:vAlign w:val="bottom"/>
          </w:tcPr>
          <w:p w:rsidR="001670EC" w:rsidRPr="00542376" w:rsidRDefault="001670EC" w:rsidP="00C675E5">
            <w:pPr>
              <w:spacing w:after="0" w:line="240" w:lineRule="auto"/>
              <w:rPr>
                <w:rFonts w:cs="Arial"/>
              </w:rPr>
            </w:pPr>
            <w:r w:rsidRPr="00542376">
              <w:rPr>
                <w:rFonts w:cs="Arial"/>
              </w:rPr>
              <w:t> </w:t>
            </w:r>
          </w:p>
        </w:tc>
        <w:tc>
          <w:tcPr>
            <w:tcW w:w="1120" w:type="dxa"/>
            <w:vAlign w:val="bottom"/>
          </w:tcPr>
          <w:p w:rsidR="001670EC" w:rsidRPr="00542376" w:rsidRDefault="001670EC" w:rsidP="00C675E5">
            <w:pPr>
              <w:spacing w:after="0" w:line="240" w:lineRule="auto"/>
              <w:jc w:val="center"/>
              <w:rPr>
                <w:rFonts w:cs="Arial"/>
                <w:b/>
                <w:bCs/>
              </w:rPr>
            </w:pPr>
            <w:r w:rsidRPr="00542376">
              <w:rPr>
                <w:rFonts w:cs="Arial"/>
                <w:b/>
                <w:bCs/>
              </w:rPr>
              <w:t>Mortality</w:t>
            </w:r>
          </w:p>
        </w:tc>
        <w:tc>
          <w:tcPr>
            <w:tcW w:w="1240" w:type="dxa"/>
            <w:vAlign w:val="bottom"/>
          </w:tcPr>
          <w:p w:rsidR="001670EC" w:rsidRPr="00542376" w:rsidRDefault="001670EC" w:rsidP="00C675E5">
            <w:pPr>
              <w:spacing w:after="0" w:line="240" w:lineRule="auto"/>
              <w:jc w:val="center"/>
              <w:rPr>
                <w:rFonts w:cs="Arial"/>
                <w:b/>
                <w:bCs/>
              </w:rPr>
            </w:pPr>
            <w:r w:rsidRPr="00542376">
              <w:rPr>
                <w:rFonts w:cs="Arial"/>
                <w:b/>
                <w:bCs/>
              </w:rPr>
              <w:t>Morbidity</w:t>
            </w:r>
          </w:p>
        </w:tc>
        <w:tc>
          <w:tcPr>
            <w:tcW w:w="1420" w:type="dxa"/>
            <w:vAlign w:val="bottom"/>
          </w:tcPr>
          <w:p w:rsidR="001670EC" w:rsidRPr="00542376" w:rsidRDefault="001670EC" w:rsidP="00C675E5">
            <w:pPr>
              <w:spacing w:after="0" w:line="240" w:lineRule="auto"/>
              <w:jc w:val="center"/>
              <w:rPr>
                <w:rFonts w:cs="Arial"/>
                <w:b/>
                <w:bCs/>
              </w:rPr>
            </w:pPr>
            <w:r w:rsidRPr="00542376">
              <w:rPr>
                <w:rFonts w:cs="Arial"/>
                <w:b/>
                <w:bCs/>
              </w:rPr>
              <w:t>Healthy Behaviors</w:t>
            </w:r>
          </w:p>
        </w:tc>
        <w:tc>
          <w:tcPr>
            <w:tcW w:w="1540" w:type="dxa"/>
            <w:vAlign w:val="bottom"/>
          </w:tcPr>
          <w:p w:rsidR="001670EC" w:rsidRPr="00542376" w:rsidRDefault="001670EC" w:rsidP="00C675E5">
            <w:pPr>
              <w:spacing w:after="0" w:line="240" w:lineRule="auto"/>
              <w:jc w:val="center"/>
              <w:rPr>
                <w:rFonts w:cs="Arial"/>
                <w:b/>
                <w:bCs/>
              </w:rPr>
            </w:pPr>
            <w:r w:rsidRPr="00542376">
              <w:rPr>
                <w:rFonts w:cs="Arial"/>
                <w:b/>
                <w:bCs/>
              </w:rPr>
              <w:t>Clinical Care</w:t>
            </w:r>
          </w:p>
        </w:tc>
        <w:tc>
          <w:tcPr>
            <w:tcW w:w="1780" w:type="dxa"/>
            <w:vAlign w:val="bottom"/>
          </w:tcPr>
          <w:p w:rsidR="001670EC" w:rsidRPr="00542376" w:rsidRDefault="001670EC" w:rsidP="00C675E5">
            <w:pPr>
              <w:spacing w:after="0" w:line="240" w:lineRule="auto"/>
              <w:jc w:val="center"/>
              <w:rPr>
                <w:rFonts w:cs="Arial"/>
                <w:b/>
                <w:bCs/>
              </w:rPr>
            </w:pPr>
            <w:r w:rsidRPr="00542376">
              <w:rPr>
                <w:rFonts w:cs="Arial"/>
                <w:b/>
                <w:bCs/>
              </w:rPr>
              <w:t>Economic Factors</w:t>
            </w:r>
          </w:p>
        </w:tc>
        <w:tc>
          <w:tcPr>
            <w:tcW w:w="1540" w:type="dxa"/>
            <w:vAlign w:val="bottom"/>
          </w:tcPr>
          <w:p w:rsidR="001670EC" w:rsidRPr="00542376" w:rsidRDefault="001670EC" w:rsidP="00C675E5">
            <w:pPr>
              <w:spacing w:after="0" w:line="240" w:lineRule="auto"/>
              <w:jc w:val="center"/>
              <w:rPr>
                <w:rFonts w:cs="Arial"/>
                <w:b/>
                <w:bCs/>
              </w:rPr>
            </w:pPr>
            <w:r w:rsidRPr="00542376">
              <w:rPr>
                <w:rFonts w:cs="Arial"/>
                <w:b/>
                <w:bCs/>
              </w:rPr>
              <w:t>Physical Environment</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County</w:t>
            </w:r>
          </w:p>
        </w:tc>
        <w:tc>
          <w:tcPr>
            <w:tcW w:w="1120" w:type="dxa"/>
            <w:noWrap/>
            <w:vAlign w:val="bottom"/>
          </w:tcPr>
          <w:p w:rsidR="001670EC" w:rsidRPr="00542376" w:rsidRDefault="001670EC" w:rsidP="00C675E5">
            <w:pPr>
              <w:spacing w:after="0" w:line="240" w:lineRule="auto"/>
              <w:rPr>
                <w:rFonts w:cs="Arial"/>
              </w:rPr>
            </w:pPr>
            <w:r w:rsidRPr="00542376">
              <w:rPr>
                <w:rFonts w:cs="Arial"/>
              </w:rPr>
              <w:t>Rank</w:t>
            </w:r>
          </w:p>
        </w:tc>
        <w:tc>
          <w:tcPr>
            <w:tcW w:w="1240" w:type="dxa"/>
            <w:noWrap/>
            <w:vAlign w:val="bottom"/>
          </w:tcPr>
          <w:p w:rsidR="001670EC" w:rsidRPr="00542376" w:rsidRDefault="001670EC" w:rsidP="00C675E5">
            <w:pPr>
              <w:spacing w:after="0" w:line="240" w:lineRule="auto"/>
              <w:rPr>
                <w:rFonts w:cs="Arial"/>
              </w:rPr>
            </w:pPr>
            <w:r w:rsidRPr="00542376">
              <w:rPr>
                <w:rFonts w:cs="Arial"/>
              </w:rPr>
              <w:t>Rank</w:t>
            </w:r>
          </w:p>
        </w:tc>
        <w:tc>
          <w:tcPr>
            <w:tcW w:w="1420" w:type="dxa"/>
            <w:noWrap/>
            <w:vAlign w:val="bottom"/>
          </w:tcPr>
          <w:p w:rsidR="001670EC" w:rsidRPr="00542376" w:rsidRDefault="001670EC" w:rsidP="00C675E5">
            <w:pPr>
              <w:spacing w:after="0" w:line="240" w:lineRule="auto"/>
              <w:rPr>
                <w:rFonts w:cs="Arial"/>
              </w:rPr>
            </w:pPr>
            <w:r w:rsidRPr="00542376">
              <w:rPr>
                <w:rFonts w:cs="Arial"/>
              </w:rPr>
              <w:t>Rank</w:t>
            </w:r>
          </w:p>
        </w:tc>
        <w:tc>
          <w:tcPr>
            <w:tcW w:w="1540" w:type="dxa"/>
            <w:noWrap/>
            <w:vAlign w:val="bottom"/>
          </w:tcPr>
          <w:p w:rsidR="001670EC" w:rsidRPr="00542376" w:rsidRDefault="001670EC" w:rsidP="00C675E5">
            <w:pPr>
              <w:spacing w:after="0" w:line="240" w:lineRule="auto"/>
              <w:rPr>
                <w:rFonts w:cs="Arial"/>
              </w:rPr>
            </w:pPr>
            <w:r w:rsidRPr="00542376">
              <w:rPr>
                <w:rFonts w:cs="Arial"/>
              </w:rPr>
              <w:t>Rank</w:t>
            </w:r>
          </w:p>
        </w:tc>
        <w:tc>
          <w:tcPr>
            <w:tcW w:w="1780" w:type="dxa"/>
            <w:noWrap/>
            <w:vAlign w:val="bottom"/>
          </w:tcPr>
          <w:p w:rsidR="001670EC" w:rsidRPr="00542376" w:rsidRDefault="001670EC" w:rsidP="00C675E5">
            <w:pPr>
              <w:spacing w:after="0" w:line="240" w:lineRule="auto"/>
              <w:rPr>
                <w:rFonts w:cs="Arial"/>
              </w:rPr>
            </w:pPr>
            <w:r w:rsidRPr="00542376">
              <w:rPr>
                <w:rFonts w:cs="Arial"/>
              </w:rPr>
              <w:t>Rank</w:t>
            </w:r>
          </w:p>
        </w:tc>
        <w:tc>
          <w:tcPr>
            <w:tcW w:w="1540" w:type="dxa"/>
            <w:noWrap/>
            <w:vAlign w:val="bottom"/>
          </w:tcPr>
          <w:p w:rsidR="001670EC" w:rsidRPr="00542376" w:rsidRDefault="001670EC" w:rsidP="00C675E5">
            <w:pPr>
              <w:spacing w:after="0" w:line="240" w:lineRule="auto"/>
              <w:rPr>
                <w:rFonts w:cs="Arial"/>
              </w:rPr>
            </w:pPr>
            <w:r w:rsidRPr="00542376">
              <w:rPr>
                <w:rFonts w:cs="Arial"/>
              </w:rPr>
              <w:t>Rank</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Albany</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34</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26</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15</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6</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16</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15</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Clinton</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32</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27</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32</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32</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47</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56</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Essex</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14</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16</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16</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37</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32</w:t>
            </w:r>
          </w:p>
        </w:tc>
        <w:tc>
          <w:tcPr>
            <w:tcW w:w="1540" w:type="dxa"/>
            <w:shd w:val="clear" w:color="000000" w:fill="FFFF00"/>
            <w:noWrap/>
            <w:vAlign w:val="bottom"/>
          </w:tcPr>
          <w:p w:rsidR="001670EC" w:rsidRPr="00542376" w:rsidRDefault="001670EC" w:rsidP="00C675E5">
            <w:pPr>
              <w:spacing w:after="0" w:line="240" w:lineRule="auto"/>
              <w:jc w:val="right"/>
              <w:rPr>
                <w:rFonts w:cs="Arial"/>
              </w:rPr>
            </w:pPr>
            <w:r w:rsidRPr="00542376">
              <w:rPr>
                <w:rFonts w:cs="Arial"/>
              </w:rPr>
              <w:t>2</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Franklin</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42</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23</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36</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51</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55</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45</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Fulton</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37</w:t>
            </w:r>
          </w:p>
        </w:tc>
        <w:tc>
          <w:tcPr>
            <w:tcW w:w="1240" w:type="dxa"/>
            <w:shd w:val="clear" w:color="auto" w:fill="FFFFFF"/>
            <w:noWrap/>
            <w:vAlign w:val="bottom"/>
          </w:tcPr>
          <w:p w:rsidR="001670EC" w:rsidRPr="00542376" w:rsidRDefault="001670EC" w:rsidP="00C675E5">
            <w:pPr>
              <w:spacing w:after="0" w:line="240" w:lineRule="auto"/>
              <w:jc w:val="right"/>
              <w:rPr>
                <w:rFonts w:cs="Arial"/>
              </w:rPr>
            </w:pPr>
            <w:r w:rsidRPr="00542376">
              <w:rPr>
                <w:rFonts w:cs="Arial"/>
              </w:rPr>
              <w:t>60</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55</w:t>
            </w:r>
          </w:p>
        </w:tc>
        <w:tc>
          <w:tcPr>
            <w:tcW w:w="1540" w:type="dxa"/>
            <w:shd w:val="clear" w:color="auto" w:fill="FFFFFF"/>
            <w:noWrap/>
            <w:vAlign w:val="bottom"/>
          </w:tcPr>
          <w:p w:rsidR="001670EC" w:rsidRPr="00542376" w:rsidRDefault="001670EC" w:rsidP="00C675E5">
            <w:pPr>
              <w:spacing w:after="0" w:line="240" w:lineRule="auto"/>
              <w:jc w:val="right"/>
              <w:rPr>
                <w:rFonts w:cs="Arial"/>
              </w:rPr>
            </w:pPr>
            <w:r w:rsidRPr="00542376">
              <w:rPr>
                <w:rFonts w:cs="Arial"/>
              </w:rPr>
              <w:t>48</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59</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10</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Hamilton</w:t>
            </w:r>
          </w:p>
        </w:tc>
        <w:tc>
          <w:tcPr>
            <w:tcW w:w="1120" w:type="dxa"/>
            <w:shd w:val="clear" w:color="auto" w:fill="FFFFFF"/>
            <w:noWrap/>
            <w:vAlign w:val="bottom"/>
          </w:tcPr>
          <w:p w:rsidR="001670EC" w:rsidRPr="00542376" w:rsidRDefault="001670EC" w:rsidP="00C675E5">
            <w:pPr>
              <w:spacing w:after="0" w:line="240" w:lineRule="auto"/>
              <w:jc w:val="right"/>
              <w:rPr>
                <w:rFonts w:cs="Arial"/>
              </w:rPr>
            </w:pPr>
            <w:r w:rsidRPr="00542376">
              <w:rPr>
                <w:rFonts w:cs="Arial"/>
              </w:rPr>
              <w:t>61</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33</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17</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41</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11</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44</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Montgomery</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56</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30</w:t>
            </w:r>
          </w:p>
        </w:tc>
        <w:tc>
          <w:tcPr>
            <w:tcW w:w="1420" w:type="dxa"/>
            <w:shd w:val="clear" w:color="auto" w:fill="FFFFFF"/>
            <w:noWrap/>
            <w:vAlign w:val="bottom"/>
          </w:tcPr>
          <w:p w:rsidR="001670EC" w:rsidRPr="00542376" w:rsidRDefault="001670EC" w:rsidP="00C675E5">
            <w:pPr>
              <w:spacing w:after="0" w:line="240" w:lineRule="auto"/>
              <w:jc w:val="right"/>
              <w:rPr>
                <w:rFonts w:cs="Arial"/>
              </w:rPr>
            </w:pPr>
            <w:r w:rsidRPr="00542376">
              <w:rPr>
                <w:rFonts w:cs="Arial"/>
              </w:rPr>
              <w:t>60</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35</w:t>
            </w:r>
          </w:p>
        </w:tc>
        <w:tc>
          <w:tcPr>
            <w:tcW w:w="1780" w:type="dxa"/>
            <w:shd w:val="clear" w:color="auto" w:fill="FFFFFF"/>
            <w:noWrap/>
            <w:vAlign w:val="bottom"/>
          </w:tcPr>
          <w:p w:rsidR="001670EC" w:rsidRPr="00542376" w:rsidRDefault="001670EC" w:rsidP="00C675E5">
            <w:pPr>
              <w:spacing w:after="0" w:line="240" w:lineRule="auto"/>
              <w:jc w:val="right"/>
              <w:rPr>
                <w:rFonts w:cs="Arial"/>
              </w:rPr>
            </w:pPr>
            <w:r w:rsidRPr="00542376">
              <w:rPr>
                <w:rFonts w:cs="Arial"/>
              </w:rPr>
              <w:t>60</w:t>
            </w:r>
          </w:p>
        </w:tc>
        <w:tc>
          <w:tcPr>
            <w:tcW w:w="1540" w:type="dxa"/>
            <w:shd w:val="clear" w:color="auto" w:fill="FFFFFF"/>
            <w:noWrap/>
            <w:vAlign w:val="bottom"/>
          </w:tcPr>
          <w:p w:rsidR="001670EC" w:rsidRPr="00542376" w:rsidRDefault="001670EC" w:rsidP="00C675E5">
            <w:pPr>
              <w:spacing w:after="0" w:line="240" w:lineRule="auto"/>
              <w:jc w:val="right"/>
              <w:rPr>
                <w:rFonts w:cs="Arial"/>
              </w:rPr>
            </w:pPr>
            <w:r w:rsidRPr="00542376">
              <w:rPr>
                <w:rFonts w:cs="Arial"/>
              </w:rPr>
              <w:t>62</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Rensselaer</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31</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46</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40</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28</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18</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38</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Saratoga</w:t>
            </w:r>
          </w:p>
        </w:tc>
        <w:tc>
          <w:tcPr>
            <w:tcW w:w="1120" w:type="dxa"/>
            <w:shd w:val="clear" w:color="000000" w:fill="FFFF00"/>
            <w:noWrap/>
            <w:vAlign w:val="bottom"/>
          </w:tcPr>
          <w:p w:rsidR="001670EC" w:rsidRPr="00542376" w:rsidRDefault="001670EC" w:rsidP="00C675E5">
            <w:pPr>
              <w:spacing w:after="0" w:line="240" w:lineRule="auto"/>
              <w:jc w:val="right"/>
              <w:rPr>
                <w:rFonts w:cs="Arial"/>
              </w:rPr>
            </w:pPr>
            <w:r w:rsidRPr="00542376">
              <w:rPr>
                <w:rFonts w:cs="Arial"/>
              </w:rPr>
              <w:t>8</w:t>
            </w:r>
          </w:p>
        </w:tc>
        <w:tc>
          <w:tcPr>
            <w:tcW w:w="1240" w:type="dxa"/>
            <w:shd w:val="clear" w:color="000000" w:fill="FFFF00"/>
            <w:noWrap/>
            <w:vAlign w:val="bottom"/>
          </w:tcPr>
          <w:p w:rsidR="001670EC" w:rsidRPr="00542376" w:rsidRDefault="001670EC" w:rsidP="00C675E5">
            <w:pPr>
              <w:spacing w:after="0" w:line="240" w:lineRule="auto"/>
              <w:jc w:val="right"/>
              <w:rPr>
                <w:rFonts w:cs="Arial"/>
              </w:rPr>
            </w:pPr>
            <w:r w:rsidRPr="00542376">
              <w:rPr>
                <w:rFonts w:cs="Arial"/>
              </w:rPr>
              <w:t>6</w:t>
            </w:r>
          </w:p>
        </w:tc>
        <w:tc>
          <w:tcPr>
            <w:tcW w:w="1420" w:type="dxa"/>
            <w:shd w:val="clear" w:color="auto" w:fill="FFFF00"/>
            <w:noWrap/>
            <w:vAlign w:val="bottom"/>
          </w:tcPr>
          <w:p w:rsidR="001670EC" w:rsidRPr="00542376" w:rsidRDefault="001670EC" w:rsidP="00C675E5">
            <w:pPr>
              <w:spacing w:after="0" w:line="240" w:lineRule="auto"/>
              <w:jc w:val="right"/>
              <w:rPr>
                <w:rFonts w:cs="Arial"/>
              </w:rPr>
            </w:pPr>
            <w:r w:rsidRPr="00542376">
              <w:rPr>
                <w:rFonts w:cs="Arial"/>
              </w:rPr>
              <w:t>12</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5</w:t>
            </w:r>
          </w:p>
        </w:tc>
        <w:tc>
          <w:tcPr>
            <w:tcW w:w="1780" w:type="dxa"/>
            <w:shd w:val="clear" w:color="000000" w:fill="FFFF00"/>
            <w:noWrap/>
            <w:vAlign w:val="bottom"/>
          </w:tcPr>
          <w:p w:rsidR="001670EC" w:rsidRPr="00542376" w:rsidRDefault="001670EC" w:rsidP="00C675E5">
            <w:pPr>
              <w:spacing w:after="0" w:line="240" w:lineRule="auto"/>
              <w:jc w:val="right"/>
              <w:rPr>
                <w:rFonts w:cs="Arial"/>
              </w:rPr>
            </w:pPr>
            <w:r w:rsidRPr="00542376">
              <w:rPr>
                <w:rFonts w:cs="Arial"/>
              </w:rPr>
              <w:t>2</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9</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Schenectady</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27</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42</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24</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11</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33</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46</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Warren</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16</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7</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44</w:t>
            </w:r>
          </w:p>
        </w:tc>
        <w:tc>
          <w:tcPr>
            <w:tcW w:w="1540" w:type="dxa"/>
            <w:shd w:val="clear" w:color="000000" w:fill="FFFF00"/>
            <w:noWrap/>
            <w:vAlign w:val="bottom"/>
          </w:tcPr>
          <w:p w:rsidR="001670EC" w:rsidRPr="00542376" w:rsidRDefault="001670EC" w:rsidP="00C675E5">
            <w:pPr>
              <w:spacing w:after="0" w:line="240" w:lineRule="auto"/>
              <w:jc w:val="right"/>
              <w:rPr>
                <w:rFonts w:cs="Arial"/>
              </w:rPr>
            </w:pPr>
            <w:r w:rsidRPr="00542376">
              <w:rPr>
                <w:rFonts w:cs="Arial"/>
              </w:rPr>
              <w:t>2</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23</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3</w:t>
            </w:r>
          </w:p>
        </w:tc>
      </w:tr>
      <w:tr w:rsidR="001670EC" w:rsidRPr="00680D98" w:rsidTr="00210178">
        <w:trPr>
          <w:trHeight w:val="300"/>
        </w:trPr>
        <w:tc>
          <w:tcPr>
            <w:tcW w:w="1391" w:type="dxa"/>
            <w:noWrap/>
            <w:vAlign w:val="bottom"/>
          </w:tcPr>
          <w:p w:rsidR="001670EC" w:rsidRPr="00542376" w:rsidRDefault="001670EC" w:rsidP="00C675E5">
            <w:pPr>
              <w:spacing w:after="0" w:line="240" w:lineRule="auto"/>
              <w:rPr>
                <w:rFonts w:cs="Arial"/>
              </w:rPr>
            </w:pPr>
            <w:r w:rsidRPr="00542376">
              <w:rPr>
                <w:rFonts w:cs="Arial"/>
              </w:rPr>
              <w:t>Washington</w:t>
            </w:r>
          </w:p>
        </w:tc>
        <w:tc>
          <w:tcPr>
            <w:tcW w:w="1120" w:type="dxa"/>
            <w:noWrap/>
            <w:vAlign w:val="bottom"/>
          </w:tcPr>
          <w:p w:rsidR="001670EC" w:rsidRPr="00542376" w:rsidRDefault="001670EC" w:rsidP="00C675E5">
            <w:pPr>
              <w:spacing w:after="0" w:line="240" w:lineRule="auto"/>
              <w:jc w:val="right"/>
              <w:rPr>
                <w:rFonts w:cs="Arial"/>
              </w:rPr>
            </w:pPr>
            <w:r w:rsidRPr="00542376">
              <w:rPr>
                <w:rFonts w:cs="Arial"/>
              </w:rPr>
              <w:t>33</w:t>
            </w:r>
          </w:p>
        </w:tc>
        <w:tc>
          <w:tcPr>
            <w:tcW w:w="1240" w:type="dxa"/>
            <w:noWrap/>
            <w:vAlign w:val="bottom"/>
          </w:tcPr>
          <w:p w:rsidR="001670EC" w:rsidRPr="00542376" w:rsidRDefault="001670EC" w:rsidP="00C675E5">
            <w:pPr>
              <w:spacing w:after="0" w:line="240" w:lineRule="auto"/>
              <w:jc w:val="right"/>
              <w:rPr>
                <w:rFonts w:cs="Arial"/>
              </w:rPr>
            </w:pPr>
            <w:r w:rsidRPr="00542376">
              <w:rPr>
                <w:rFonts w:cs="Arial"/>
              </w:rPr>
              <w:t>45</w:t>
            </w:r>
          </w:p>
        </w:tc>
        <w:tc>
          <w:tcPr>
            <w:tcW w:w="1420" w:type="dxa"/>
            <w:noWrap/>
            <w:vAlign w:val="bottom"/>
          </w:tcPr>
          <w:p w:rsidR="001670EC" w:rsidRPr="00542376" w:rsidRDefault="001670EC" w:rsidP="00C675E5">
            <w:pPr>
              <w:spacing w:after="0" w:line="240" w:lineRule="auto"/>
              <w:jc w:val="right"/>
              <w:rPr>
                <w:rFonts w:cs="Arial"/>
              </w:rPr>
            </w:pPr>
            <w:r w:rsidRPr="00542376">
              <w:rPr>
                <w:rFonts w:cs="Arial"/>
              </w:rPr>
              <w:t>56</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26</w:t>
            </w:r>
          </w:p>
        </w:tc>
        <w:tc>
          <w:tcPr>
            <w:tcW w:w="1780" w:type="dxa"/>
            <w:noWrap/>
            <w:vAlign w:val="bottom"/>
          </w:tcPr>
          <w:p w:rsidR="001670EC" w:rsidRPr="00542376" w:rsidRDefault="001670EC" w:rsidP="00C675E5">
            <w:pPr>
              <w:spacing w:after="0" w:line="240" w:lineRule="auto"/>
              <w:jc w:val="right"/>
              <w:rPr>
                <w:rFonts w:cs="Arial"/>
              </w:rPr>
            </w:pPr>
            <w:r w:rsidRPr="00542376">
              <w:rPr>
                <w:rFonts w:cs="Arial"/>
              </w:rPr>
              <w:t>28</w:t>
            </w:r>
          </w:p>
        </w:tc>
        <w:tc>
          <w:tcPr>
            <w:tcW w:w="1540" w:type="dxa"/>
            <w:noWrap/>
            <w:vAlign w:val="bottom"/>
          </w:tcPr>
          <w:p w:rsidR="001670EC" w:rsidRPr="00542376" w:rsidRDefault="001670EC" w:rsidP="00C675E5">
            <w:pPr>
              <w:spacing w:after="0" w:line="240" w:lineRule="auto"/>
              <w:jc w:val="right"/>
              <w:rPr>
                <w:rFonts w:cs="Arial"/>
              </w:rPr>
            </w:pPr>
            <w:r w:rsidRPr="00542376">
              <w:rPr>
                <w:rFonts w:cs="Arial"/>
              </w:rPr>
              <w:t>28</w:t>
            </w:r>
          </w:p>
        </w:tc>
      </w:tr>
    </w:tbl>
    <w:p w:rsidR="001670EC" w:rsidRPr="00210178" w:rsidRDefault="001670EC">
      <w:pPr>
        <w:rPr>
          <w:sz w:val="14"/>
          <w:szCs w:val="14"/>
        </w:rPr>
      </w:pPr>
      <w:r w:rsidRPr="00210178">
        <w:rPr>
          <w:sz w:val="14"/>
          <w:szCs w:val="14"/>
        </w:rPr>
        <w:t>Source:  County Health Rankings &amp; Roadmaps, A Healthier Nation, County by County, Robert Wood Johnson Foundation and the University of Wisconsin Population Health Institute - 2013</w:t>
      </w:r>
    </w:p>
    <w:p w:rsidR="001670EC" w:rsidRPr="00620C7B" w:rsidRDefault="001670EC" w:rsidP="001E3492">
      <w:pPr>
        <w:contextualSpacing/>
        <w:rPr>
          <w:sz w:val="16"/>
          <w:szCs w:val="16"/>
        </w:rPr>
      </w:pPr>
      <w:r w:rsidRPr="00620C7B">
        <w:rPr>
          <w:sz w:val="16"/>
          <w:szCs w:val="16"/>
        </w:rPr>
        <w:t>Note:  Yellow highlighted cells show the Counties that have the highest ranking in the region.</w:t>
      </w:r>
      <w:r>
        <w:t xml:space="preserve">         </w:t>
      </w:r>
    </w:p>
    <w:p w:rsidR="001670EC" w:rsidRDefault="001670EC" w:rsidP="00473EE4">
      <w:r>
        <w:t>Fulton County ranks as the 53</w:t>
      </w:r>
      <w:r w:rsidRPr="00542376">
        <w:rPr>
          <w:vertAlign w:val="superscript"/>
        </w:rPr>
        <w:t>rd</w:t>
      </w:r>
      <w:r>
        <w:t xml:space="preserve"> overall healthiest county in New York State and 11</w:t>
      </w:r>
      <w:r w:rsidRPr="00382DFC">
        <w:rPr>
          <w:vertAlign w:val="superscript"/>
        </w:rPr>
        <w:t>TH</w:t>
      </w:r>
      <w:r>
        <w:t xml:space="preserve"> in the greater region.  </w:t>
      </w:r>
      <w:bookmarkStart w:id="32" w:name="_Toc355250977"/>
    </w:p>
    <w:p w:rsidR="001670EC" w:rsidRPr="009770AF" w:rsidRDefault="001670EC" w:rsidP="00620C7B">
      <w:pPr>
        <w:pStyle w:val="Heading2"/>
      </w:pPr>
      <w:r>
        <w:t>T</w:t>
      </w:r>
      <w:r w:rsidRPr="009550B9">
        <w:t>able 1</w:t>
      </w:r>
      <w:r>
        <w:t>A:  Fulton County Comparison of Outcomes/Factors to State and Regional Rankings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tblGrid>
      <w:tr w:rsidR="001670EC" w:rsidRPr="00680D98" w:rsidTr="00C00F37">
        <w:trPr>
          <w:jc w:val="center"/>
        </w:trPr>
        <w:tc>
          <w:tcPr>
            <w:tcW w:w="2394" w:type="dxa"/>
          </w:tcPr>
          <w:p w:rsidR="001670EC" w:rsidRPr="00680D98" w:rsidRDefault="001670EC" w:rsidP="003D783E">
            <w:pPr>
              <w:jc w:val="both"/>
            </w:pPr>
            <w:r w:rsidRPr="00680D98">
              <w:t>Outcome/Factor</w:t>
            </w:r>
          </w:p>
        </w:tc>
        <w:tc>
          <w:tcPr>
            <w:tcW w:w="2394" w:type="dxa"/>
          </w:tcPr>
          <w:p w:rsidR="001670EC" w:rsidRPr="00680D98" w:rsidRDefault="001670EC" w:rsidP="003D783E">
            <w:pPr>
              <w:jc w:val="center"/>
            </w:pPr>
            <w:r w:rsidRPr="00680D98">
              <w:t>State-Wide Rank</w:t>
            </w:r>
          </w:p>
        </w:tc>
        <w:tc>
          <w:tcPr>
            <w:tcW w:w="2394" w:type="dxa"/>
          </w:tcPr>
          <w:p w:rsidR="001670EC" w:rsidRPr="00680D98" w:rsidRDefault="001670EC" w:rsidP="003D783E">
            <w:pPr>
              <w:jc w:val="center"/>
            </w:pPr>
            <w:r w:rsidRPr="00680D98">
              <w:t>Greater Regional Rank</w:t>
            </w:r>
          </w:p>
        </w:tc>
      </w:tr>
      <w:tr w:rsidR="001670EC" w:rsidRPr="00680D98" w:rsidTr="00C00F37">
        <w:trPr>
          <w:jc w:val="center"/>
        </w:trPr>
        <w:tc>
          <w:tcPr>
            <w:tcW w:w="2394" w:type="dxa"/>
          </w:tcPr>
          <w:p w:rsidR="001670EC" w:rsidRPr="00680D98" w:rsidRDefault="001670EC" w:rsidP="003D783E">
            <w:pPr>
              <w:jc w:val="both"/>
            </w:pPr>
            <w:r w:rsidRPr="00680D98">
              <w:t>Mortality</w:t>
            </w:r>
          </w:p>
        </w:tc>
        <w:tc>
          <w:tcPr>
            <w:tcW w:w="2394" w:type="dxa"/>
          </w:tcPr>
          <w:p w:rsidR="001670EC" w:rsidRPr="00680D98" w:rsidRDefault="001670EC" w:rsidP="003D783E">
            <w:pPr>
              <w:jc w:val="center"/>
            </w:pPr>
            <w:r w:rsidRPr="00680D98">
              <w:t>37</w:t>
            </w:r>
          </w:p>
        </w:tc>
        <w:tc>
          <w:tcPr>
            <w:tcW w:w="2394" w:type="dxa"/>
          </w:tcPr>
          <w:p w:rsidR="001670EC" w:rsidRPr="00680D98" w:rsidRDefault="001670EC" w:rsidP="003D783E">
            <w:pPr>
              <w:jc w:val="center"/>
            </w:pPr>
            <w:r w:rsidRPr="00680D98">
              <w:t>10</w:t>
            </w:r>
          </w:p>
        </w:tc>
      </w:tr>
      <w:tr w:rsidR="001670EC" w:rsidRPr="00680D98" w:rsidTr="00C00F37">
        <w:trPr>
          <w:jc w:val="center"/>
        </w:trPr>
        <w:tc>
          <w:tcPr>
            <w:tcW w:w="2394" w:type="dxa"/>
          </w:tcPr>
          <w:p w:rsidR="001670EC" w:rsidRPr="00680D98" w:rsidRDefault="001670EC" w:rsidP="003D783E">
            <w:pPr>
              <w:jc w:val="both"/>
            </w:pPr>
            <w:r w:rsidRPr="00680D98">
              <w:t>Morbidity</w:t>
            </w:r>
          </w:p>
        </w:tc>
        <w:tc>
          <w:tcPr>
            <w:tcW w:w="2394" w:type="dxa"/>
          </w:tcPr>
          <w:p w:rsidR="001670EC" w:rsidRPr="00680D98" w:rsidRDefault="001670EC" w:rsidP="003D783E">
            <w:pPr>
              <w:jc w:val="center"/>
            </w:pPr>
            <w:r w:rsidRPr="00680D98">
              <w:t>60</w:t>
            </w:r>
          </w:p>
        </w:tc>
        <w:tc>
          <w:tcPr>
            <w:tcW w:w="2394" w:type="dxa"/>
          </w:tcPr>
          <w:p w:rsidR="001670EC" w:rsidRPr="00680D98" w:rsidRDefault="001670EC" w:rsidP="003D783E">
            <w:pPr>
              <w:jc w:val="center"/>
            </w:pPr>
            <w:r w:rsidRPr="00680D98">
              <w:t>12</w:t>
            </w:r>
          </w:p>
        </w:tc>
      </w:tr>
      <w:tr w:rsidR="001670EC" w:rsidRPr="00680D98" w:rsidTr="00C00F37">
        <w:trPr>
          <w:jc w:val="center"/>
        </w:trPr>
        <w:tc>
          <w:tcPr>
            <w:tcW w:w="2394" w:type="dxa"/>
          </w:tcPr>
          <w:p w:rsidR="001670EC" w:rsidRPr="00680D98" w:rsidRDefault="001670EC" w:rsidP="003D783E">
            <w:pPr>
              <w:jc w:val="both"/>
            </w:pPr>
            <w:r w:rsidRPr="00680D98">
              <w:t>Healthy Behaviors</w:t>
            </w:r>
          </w:p>
        </w:tc>
        <w:tc>
          <w:tcPr>
            <w:tcW w:w="2394" w:type="dxa"/>
          </w:tcPr>
          <w:p w:rsidR="001670EC" w:rsidRPr="00680D98" w:rsidRDefault="001670EC" w:rsidP="003D783E">
            <w:pPr>
              <w:jc w:val="center"/>
            </w:pPr>
            <w:r w:rsidRPr="00680D98">
              <w:t>56</w:t>
            </w:r>
          </w:p>
        </w:tc>
        <w:tc>
          <w:tcPr>
            <w:tcW w:w="2394" w:type="dxa"/>
          </w:tcPr>
          <w:p w:rsidR="001670EC" w:rsidRPr="00680D98" w:rsidRDefault="001670EC" w:rsidP="003D783E">
            <w:pPr>
              <w:jc w:val="center"/>
            </w:pPr>
            <w:r w:rsidRPr="00680D98">
              <w:t>10</w:t>
            </w:r>
          </w:p>
        </w:tc>
      </w:tr>
      <w:tr w:rsidR="001670EC" w:rsidRPr="00680D98" w:rsidTr="00C00F37">
        <w:trPr>
          <w:jc w:val="center"/>
        </w:trPr>
        <w:tc>
          <w:tcPr>
            <w:tcW w:w="2394" w:type="dxa"/>
          </w:tcPr>
          <w:p w:rsidR="001670EC" w:rsidRPr="00680D98" w:rsidRDefault="001670EC" w:rsidP="003D783E">
            <w:pPr>
              <w:jc w:val="both"/>
            </w:pPr>
            <w:r w:rsidRPr="00680D98">
              <w:t>Clinical Care</w:t>
            </w:r>
          </w:p>
        </w:tc>
        <w:tc>
          <w:tcPr>
            <w:tcW w:w="2394" w:type="dxa"/>
          </w:tcPr>
          <w:p w:rsidR="001670EC" w:rsidRPr="00680D98" w:rsidRDefault="001670EC" w:rsidP="003D783E">
            <w:pPr>
              <w:jc w:val="center"/>
            </w:pPr>
            <w:r w:rsidRPr="00680D98">
              <w:t>55</w:t>
            </w:r>
          </w:p>
        </w:tc>
        <w:tc>
          <w:tcPr>
            <w:tcW w:w="2394" w:type="dxa"/>
          </w:tcPr>
          <w:p w:rsidR="001670EC" w:rsidRPr="00680D98" w:rsidRDefault="001670EC" w:rsidP="003D783E">
            <w:pPr>
              <w:jc w:val="center"/>
            </w:pPr>
            <w:r w:rsidRPr="00680D98">
              <w:t>11</w:t>
            </w:r>
          </w:p>
        </w:tc>
      </w:tr>
      <w:tr w:rsidR="001670EC" w:rsidRPr="00680D98" w:rsidTr="00C00F37">
        <w:trPr>
          <w:jc w:val="center"/>
        </w:trPr>
        <w:tc>
          <w:tcPr>
            <w:tcW w:w="2394" w:type="dxa"/>
          </w:tcPr>
          <w:p w:rsidR="001670EC" w:rsidRPr="00680D98" w:rsidRDefault="001670EC" w:rsidP="003D783E">
            <w:pPr>
              <w:jc w:val="both"/>
            </w:pPr>
            <w:r w:rsidRPr="00680D98">
              <w:t>Economic Factors</w:t>
            </w:r>
          </w:p>
        </w:tc>
        <w:tc>
          <w:tcPr>
            <w:tcW w:w="2394" w:type="dxa"/>
          </w:tcPr>
          <w:p w:rsidR="001670EC" w:rsidRPr="00680D98" w:rsidRDefault="001670EC" w:rsidP="003D783E">
            <w:pPr>
              <w:jc w:val="center"/>
            </w:pPr>
            <w:r w:rsidRPr="00680D98">
              <w:t>59</w:t>
            </w:r>
          </w:p>
        </w:tc>
        <w:tc>
          <w:tcPr>
            <w:tcW w:w="2394" w:type="dxa"/>
          </w:tcPr>
          <w:p w:rsidR="001670EC" w:rsidRPr="00680D98" w:rsidRDefault="001670EC" w:rsidP="003D783E">
            <w:pPr>
              <w:jc w:val="center"/>
            </w:pPr>
            <w:r w:rsidRPr="00680D98">
              <w:t>11</w:t>
            </w:r>
          </w:p>
        </w:tc>
      </w:tr>
      <w:tr w:rsidR="001670EC" w:rsidRPr="00680D98" w:rsidTr="00C00F37">
        <w:trPr>
          <w:jc w:val="center"/>
        </w:trPr>
        <w:tc>
          <w:tcPr>
            <w:tcW w:w="2394" w:type="dxa"/>
          </w:tcPr>
          <w:p w:rsidR="001670EC" w:rsidRPr="00680D98" w:rsidRDefault="001670EC" w:rsidP="003D783E">
            <w:pPr>
              <w:jc w:val="both"/>
            </w:pPr>
            <w:r w:rsidRPr="00680D98">
              <w:t>Physical Environment</w:t>
            </w:r>
          </w:p>
        </w:tc>
        <w:tc>
          <w:tcPr>
            <w:tcW w:w="2394" w:type="dxa"/>
          </w:tcPr>
          <w:p w:rsidR="001670EC" w:rsidRPr="00680D98" w:rsidRDefault="001670EC" w:rsidP="003D783E">
            <w:pPr>
              <w:jc w:val="center"/>
            </w:pPr>
            <w:r w:rsidRPr="00680D98">
              <w:t>10</w:t>
            </w:r>
          </w:p>
        </w:tc>
        <w:tc>
          <w:tcPr>
            <w:tcW w:w="2394" w:type="dxa"/>
          </w:tcPr>
          <w:p w:rsidR="001670EC" w:rsidRPr="00680D98" w:rsidRDefault="001670EC" w:rsidP="003D783E">
            <w:pPr>
              <w:jc w:val="center"/>
            </w:pPr>
            <w:r w:rsidRPr="00680D98">
              <w:t>4</w:t>
            </w:r>
          </w:p>
        </w:tc>
      </w:tr>
    </w:tbl>
    <w:p w:rsidR="001670EC" w:rsidRPr="00B172E7" w:rsidRDefault="008955AD" w:rsidP="00620C7B">
      <w:pPr>
        <w:pStyle w:val="Heading2"/>
        <w:rPr>
          <w:rFonts w:ascii="Calibri" w:hAnsi="Calibri"/>
          <w:b w:val="0"/>
          <w:color w:val="auto"/>
          <w:sz w:val="22"/>
          <w:szCs w:val="22"/>
        </w:rPr>
      </w:pPr>
      <w:r>
        <w:rPr>
          <w:rFonts w:ascii="Calibri" w:hAnsi="Calibri"/>
          <w:b w:val="0"/>
          <w:color w:val="auto"/>
          <w:sz w:val="22"/>
          <w:szCs w:val="22"/>
        </w:rPr>
        <w:t>Wi</w:t>
      </w:r>
      <w:r w:rsidR="001670EC">
        <w:rPr>
          <w:rFonts w:ascii="Calibri" w:hAnsi="Calibri"/>
          <w:b w:val="0"/>
          <w:color w:val="auto"/>
          <w:sz w:val="22"/>
          <w:szCs w:val="22"/>
        </w:rPr>
        <w:t>th the exception of physical environment, Fulton County’s rankings are among the poorest in the state and regions.</w:t>
      </w:r>
    </w:p>
    <w:p w:rsidR="001670EC" w:rsidRDefault="001670EC" w:rsidP="00271730">
      <w:pPr>
        <w:pStyle w:val="Heading2"/>
      </w:pPr>
      <w:r>
        <w:t>T</w:t>
      </w:r>
      <w:r w:rsidRPr="009550B9">
        <w:t>able 1</w:t>
      </w:r>
      <w:r>
        <w:t>B:  Montgomery County Comparison of Outcomes/Factors to State and Regional Rankings</w:t>
      </w:r>
    </w:p>
    <w:p w:rsidR="001670EC" w:rsidRDefault="001670EC">
      <w:pPr>
        <w:rPr>
          <w:color w:val="C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tblGrid>
      <w:tr w:rsidR="001670EC" w:rsidRPr="00680D98" w:rsidTr="0013240B">
        <w:trPr>
          <w:jc w:val="center"/>
        </w:trPr>
        <w:tc>
          <w:tcPr>
            <w:tcW w:w="2394" w:type="dxa"/>
          </w:tcPr>
          <w:p w:rsidR="001670EC" w:rsidRPr="00680D98" w:rsidRDefault="001670EC" w:rsidP="0013240B">
            <w:pPr>
              <w:jc w:val="both"/>
            </w:pPr>
            <w:r w:rsidRPr="00680D98">
              <w:t>Outcome/Factor</w:t>
            </w:r>
          </w:p>
        </w:tc>
        <w:tc>
          <w:tcPr>
            <w:tcW w:w="2394" w:type="dxa"/>
          </w:tcPr>
          <w:p w:rsidR="001670EC" w:rsidRPr="00680D98" w:rsidRDefault="001670EC" w:rsidP="0013240B">
            <w:pPr>
              <w:jc w:val="center"/>
            </w:pPr>
            <w:r w:rsidRPr="00680D98">
              <w:t>State-Wide Rank</w:t>
            </w:r>
          </w:p>
        </w:tc>
        <w:tc>
          <w:tcPr>
            <w:tcW w:w="2394" w:type="dxa"/>
          </w:tcPr>
          <w:p w:rsidR="001670EC" w:rsidRPr="00680D98" w:rsidRDefault="001670EC" w:rsidP="0013240B">
            <w:pPr>
              <w:jc w:val="center"/>
            </w:pPr>
            <w:r w:rsidRPr="00680D98">
              <w:t>Greater Regional Rank</w:t>
            </w:r>
          </w:p>
        </w:tc>
      </w:tr>
      <w:tr w:rsidR="001670EC" w:rsidRPr="00680D98" w:rsidTr="0013240B">
        <w:trPr>
          <w:jc w:val="center"/>
        </w:trPr>
        <w:tc>
          <w:tcPr>
            <w:tcW w:w="2394" w:type="dxa"/>
          </w:tcPr>
          <w:p w:rsidR="001670EC" w:rsidRPr="00680D98" w:rsidRDefault="001670EC" w:rsidP="0013240B">
            <w:pPr>
              <w:jc w:val="both"/>
            </w:pPr>
            <w:r w:rsidRPr="00680D98">
              <w:t>Mortality</w:t>
            </w:r>
          </w:p>
        </w:tc>
        <w:tc>
          <w:tcPr>
            <w:tcW w:w="2394" w:type="dxa"/>
          </w:tcPr>
          <w:p w:rsidR="001670EC" w:rsidRPr="00680D98" w:rsidRDefault="001670EC" w:rsidP="0013240B">
            <w:pPr>
              <w:jc w:val="center"/>
            </w:pPr>
            <w:r w:rsidRPr="00680D98">
              <w:t>56</w:t>
            </w:r>
          </w:p>
        </w:tc>
        <w:tc>
          <w:tcPr>
            <w:tcW w:w="2394" w:type="dxa"/>
          </w:tcPr>
          <w:p w:rsidR="001670EC" w:rsidRPr="00680D98" w:rsidRDefault="001670EC" w:rsidP="0013240B">
            <w:pPr>
              <w:jc w:val="center"/>
            </w:pPr>
            <w:r w:rsidRPr="00680D98">
              <w:t>11</w:t>
            </w:r>
          </w:p>
        </w:tc>
      </w:tr>
      <w:tr w:rsidR="001670EC" w:rsidRPr="00680D98" w:rsidTr="0013240B">
        <w:trPr>
          <w:jc w:val="center"/>
        </w:trPr>
        <w:tc>
          <w:tcPr>
            <w:tcW w:w="2394" w:type="dxa"/>
          </w:tcPr>
          <w:p w:rsidR="001670EC" w:rsidRPr="00680D98" w:rsidRDefault="001670EC" w:rsidP="0013240B">
            <w:pPr>
              <w:jc w:val="both"/>
            </w:pPr>
            <w:r w:rsidRPr="00680D98">
              <w:t>Morbidity</w:t>
            </w:r>
          </w:p>
        </w:tc>
        <w:tc>
          <w:tcPr>
            <w:tcW w:w="2394" w:type="dxa"/>
          </w:tcPr>
          <w:p w:rsidR="001670EC" w:rsidRPr="00680D98" w:rsidRDefault="001670EC" w:rsidP="0013240B">
            <w:pPr>
              <w:jc w:val="center"/>
            </w:pPr>
            <w:r w:rsidRPr="00680D98">
              <w:t>30</w:t>
            </w:r>
          </w:p>
        </w:tc>
        <w:tc>
          <w:tcPr>
            <w:tcW w:w="2394" w:type="dxa"/>
          </w:tcPr>
          <w:p w:rsidR="001670EC" w:rsidRPr="00680D98" w:rsidRDefault="001670EC" w:rsidP="0013240B">
            <w:pPr>
              <w:jc w:val="center"/>
            </w:pPr>
            <w:r w:rsidRPr="00680D98">
              <w:t>7</w:t>
            </w:r>
          </w:p>
        </w:tc>
      </w:tr>
      <w:tr w:rsidR="001670EC" w:rsidRPr="00680D98" w:rsidTr="0013240B">
        <w:trPr>
          <w:jc w:val="center"/>
        </w:trPr>
        <w:tc>
          <w:tcPr>
            <w:tcW w:w="2394" w:type="dxa"/>
          </w:tcPr>
          <w:p w:rsidR="001670EC" w:rsidRPr="00680D98" w:rsidRDefault="001670EC" w:rsidP="0013240B">
            <w:pPr>
              <w:jc w:val="both"/>
            </w:pPr>
            <w:r w:rsidRPr="00680D98">
              <w:t>Healthy Behaviors</w:t>
            </w:r>
          </w:p>
        </w:tc>
        <w:tc>
          <w:tcPr>
            <w:tcW w:w="2394" w:type="dxa"/>
          </w:tcPr>
          <w:p w:rsidR="001670EC" w:rsidRPr="00680D98" w:rsidRDefault="001670EC" w:rsidP="0013240B">
            <w:pPr>
              <w:jc w:val="center"/>
            </w:pPr>
            <w:r w:rsidRPr="00680D98">
              <w:t>60</w:t>
            </w:r>
          </w:p>
        </w:tc>
        <w:tc>
          <w:tcPr>
            <w:tcW w:w="2394" w:type="dxa"/>
          </w:tcPr>
          <w:p w:rsidR="001670EC" w:rsidRPr="00680D98" w:rsidRDefault="001670EC" w:rsidP="0013240B">
            <w:pPr>
              <w:jc w:val="center"/>
            </w:pPr>
            <w:r w:rsidRPr="00680D98">
              <w:t>12</w:t>
            </w:r>
          </w:p>
        </w:tc>
      </w:tr>
      <w:tr w:rsidR="001670EC" w:rsidRPr="00680D98" w:rsidTr="0013240B">
        <w:trPr>
          <w:jc w:val="center"/>
        </w:trPr>
        <w:tc>
          <w:tcPr>
            <w:tcW w:w="2394" w:type="dxa"/>
          </w:tcPr>
          <w:p w:rsidR="001670EC" w:rsidRPr="00680D98" w:rsidRDefault="001670EC" w:rsidP="0013240B">
            <w:pPr>
              <w:jc w:val="both"/>
            </w:pPr>
            <w:r w:rsidRPr="00680D98">
              <w:t>Clinical Care</w:t>
            </w:r>
          </w:p>
        </w:tc>
        <w:tc>
          <w:tcPr>
            <w:tcW w:w="2394" w:type="dxa"/>
          </w:tcPr>
          <w:p w:rsidR="001670EC" w:rsidRPr="00680D98" w:rsidRDefault="001670EC" w:rsidP="0013240B">
            <w:pPr>
              <w:jc w:val="center"/>
            </w:pPr>
            <w:r w:rsidRPr="00680D98">
              <w:t>35</w:t>
            </w:r>
          </w:p>
        </w:tc>
        <w:tc>
          <w:tcPr>
            <w:tcW w:w="2394" w:type="dxa"/>
          </w:tcPr>
          <w:p w:rsidR="001670EC" w:rsidRPr="00680D98" w:rsidRDefault="001670EC" w:rsidP="0013240B">
            <w:pPr>
              <w:jc w:val="center"/>
            </w:pPr>
            <w:r w:rsidRPr="00680D98">
              <w:t>8</w:t>
            </w:r>
          </w:p>
        </w:tc>
      </w:tr>
      <w:tr w:rsidR="001670EC" w:rsidRPr="00680D98" w:rsidTr="0013240B">
        <w:trPr>
          <w:jc w:val="center"/>
        </w:trPr>
        <w:tc>
          <w:tcPr>
            <w:tcW w:w="2394" w:type="dxa"/>
          </w:tcPr>
          <w:p w:rsidR="001670EC" w:rsidRPr="00680D98" w:rsidRDefault="001670EC" w:rsidP="0013240B">
            <w:pPr>
              <w:jc w:val="both"/>
            </w:pPr>
            <w:r w:rsidRPr="00680D98">
              <w:t>Economic Factors</w:t>
            </w:r>
          </w:p>
        </w:tc>
        <w:tc>
          <w:tcPr>
            <w:tcW w:w="2394" w:type="dxa"/>
          </w:tcPr>
          <w:p w:rsidR="001670EC" w:rsidRPr="00680D98" w:rsidRDefault="001670EC" w:rsidP="0013240B">
            <w:pPr>
              <w:jc w:val="center"/>
            </w:pPr>
            <w:r w:rsidRPr="00680D98">
              <w:t>60</w:t>
            </w:r>
          </w:p>
        </w:tc>
        <w:tc>
          <w:tcPr>
            <w:tcW w:w="2394" w:type="dxa"/>
          </w:tcPr>
          <w:p w:rsidR="001670EC" w:rsidRPr="00680D98" w:rsidRDefault="001670EC" w:rsidP="0013240B">
            <w:pPr>
              <w:jc w:val="center"/>
            </w:pPr>
            <w:r w:rsidRPr="00680D98">
              <w:t>12</w:t>
            </w:r>
          </w:p>
        </w:tc>
      </w:tr>
      <w:tr w:rsidR="001670EC" w:rsidRPr="00680D98" w:rsidTr="0013240B">
        <w:trPr>
          <w:jc w:val="center"/>
        </w:trPr>
        <w:tc>
          <w:tcPr>
            <w:tcW w:w="2394" w:type="dxa"/>
          </w:tcPr>
          <w:p w:rsidR="001670EC" w:rsidRPr="00680D98" w:rsidRDefault="001670EC" w:rsidP="0013240B">
            <w:pPr>
              <w:jc w:val="both"/>
            </w:pPr>
            <w:r w:rsidRPr="00680D98">
              <w:t>Physical Environment</w:t>
            </w:r>
          </w:p>
        </w:tc>
        <w:tc>
          <w:tcPr>
            <w:tcW w:w="2394" w:type="dxa"/>
          </w:tcPr>
          <w:p w:rsidR="001670EC" w:rsidRPr="00680D98" w:rsidRDefault="001670EC" w:rsidP="0013240B">
            <w:pPr>
              <w:jc w:val="center"/>
            </w:pPr>
            <w:r w:rsidRPr="00680D98">
              <w:t>62</w:t>
            </w:r>
          </w:p>
        </w:tc>
        <w:tc>
          <w:tcPr>
            <w:tcW w:w="2394" w:type="dxa"/>
          </w:tcPr>
          <w:p w:rsidR="001670EC" w:rsidRPr="00680D98" w:rsidRDefault="001670EC" w:rsidP="0013240B">
            <w:pPr>
              <w:jc w:val="center"/>
            </w:pPr>
            <w:r w:rsidRPr="00680D98">
              <w:t>12</w:t>
            </w:r>
          </w:p>
        </w:tc>
      </w:tr>
    </w:tbl>
    <w:p w:rsidR="001670EC" w:rsidRDefault="001670EC">
      <w:pPr>
        <w:rPr>
          <w:color w:val="C00000"/>
        </w:rPr>
      </w:pPr>
    </w:p>
    <w:p w:rsidR="001670EC" w:rsidRPr="00620C7B" w:rsidRDefault="001670EC">
      <w:pPr>
        <w:rPr>
          <w:sz w:val="28"/>
          <w:szCs w:val="28"/>
        </w:rPr>
      </w:pPr>
      <w:r w:rsidRPr="00620C7B">
        <w:t>Montgomery County’s rankings are similar to Fulton County.</w:t>
      </w:r>
      <w:r w:rsidRPr="00620C7B">
        <w:rPr>
          <w:sz w:val="28"/>
          <w:szCs w:val="28"/>
        </w:rPr>
        <w:br w:type="page"/>
      </w:r>
    </w:p>
    <w:p w:rsidR="001670EC" w:rsidRDefault="001670EC" w:rsidP="00054522">
      <w:pPr>
        <w:pStyle w:val="Heading2"/>
      </w:pPr>
      <w:bookmarkStart w:id="33" w:name="_Toc355250978"/>
      <w:r>
        <w:t>Table 2: County Health Rankings, Factors-Focus Areas for Selected NYS Counties</w:t>
      </w:r>
      <w:bookmarkEnd w:id="33"/>
    </w:p>
    <w:p w:rsidR="001670EC" w:rsidRPr="00FB663A" w:rsidRDefault="003D1A5F" w:rsidP="00FB663A">
      <w:r>
        <w:rPr>
          <w:noProof/>
        </w:rPr>
        <w:pict>
          <v:rect id="_x0000_s1027" style="position:absolute;margin-left:1.8pt;margin-top:6.85pt;width:39.6pt;height:9.6pt;z-index:-251657216" fillcolor="yellow"/>
        </w:pict>
      </w:r>
      <w:r w:rsidR="001670EC">
        <w:tab/>
      </w:r>
      <w:r w:rsidR="001670EC">
        <w:tab/>
        <w:t>Highest ranking in region</w:t>
      </w:r>
    </w:p>
    <w:tbl>
      <w:tblPr>
        <w:tblW w:w="20640" w:type="dxa"/>
        <w:tblInd w:w="18" w:type="dxa"/>
        <w:tblBorders>
          <w:top w:val="single" w:sz="4" w:space="0" w:color="auto"/>
          <w:left w:val="single" w:sz="4" w:space="0" w:color="auto"/>
          <w:bottom w:val="single" w:sz="4" w:space="0" w:color="auto"/>
          <w:right w:val="single" w:sz="4" w:space="0" w:color="auto"/>
        </w:tblBorders>
        <w:tblLook w:val="00A0"/>
      </w:tblPr>
      <w:tblGrid>
        <w:gridCol w:w="11160"/>
        <w:gridCol w:w="1060"/>
        <w:gridCol w:w="1440"/>
        <w:gridCol w:w="1100"/>
        <w:gridCol w:w="1020"/>
        <w:gridCol w:w="1260"/>
        <w:gridCol w:w="1580"/>
        <w:gridCol w:w="1320"/>
        <w:gridCol w:w="700"/>
      </w:tblGrid>
      <w:tr w:rsidR="001670EC" w:rsidRPr="00680D98" w:rsidTr="00B172E7">
        <w:trPr>
          <w:trHeight w:val="645"/>
        </w:trPr>
        <w:tc>
          <w:tcPr>
            <w:tcW w:w="11160" w:type="dxa"/>
            <w:tcBorders>
              <w:top w:val="single" w:sz="4" w:space="0" w:color="auto"/>
              <w:bottom w:val="single" w:sz="4" w:space="0" w:color="auto"/>
            </w:tcBorders>
            <w:noWrap/>
            <w:vAlign w:val="bottom"/>
          </w:tcPr>
          <w:tbl>
            <w:tblPr>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1"/>
              <w:gridCol w:w="1127"/>
              <w:gridCol w:w="1440"/>
              <w:gridCol w:w="1100"/>
              <w:gridCol w:w="1020"/>
              <w:gridCol w:w="1280"/>
              <w:gridCol w:w="1580"/>
              <w:gridCol w:w="1399"/>
            </w:tblGrid>
            <w:tr w:rsidR="001670EC" w:rsidRPr="00680D98" w:rsidTr="00B172E7">
              <w:trPr>
                <w:trHeight w:val="645"/>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bookmarkStart w:id="34" w:name="RANGE!A1:H31"/>
                  <w:bookmarkEnd w:id="34"/>
                  <w:r w:rsidRPr="00B97E71">
                    <w:rPr>
                      <w:rFonts w:cs="Arial"/>
                    </w:rPr>
                    <w:t> </w:t>
                  </w:r>
                </w:p>
              </w:tc>
              <w:tc>
                <w:tcPr>
                  <w:tcW w:w="1127"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Tobacco Use</w:t>
                  </w:r>
                </w:p>
              </w:tc>
              <w:tc>
                <w:tcPr>
                  <w:tcW w:w="144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Diet and Exercise</w:t>
                  </w:r>
                </w:p>
              </w:tc>
              <w:tc>
                <w:tcPr>
                  <w:tcW w:w="110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Alcohol Use</w:t>
                  </w:r>
                </w:p>
              </w:tc>
              <w:tc>
                <w:tcPr>
                  <w:tcW w:w="102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Sexual Activity</w:t>
                  </w:r>
                </w:p>
              </w:tc>
              <w:tc>
                <w:tcPr>
                  <w:tcW w:w="128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Access to Care</w:t>
                  </w:r>
                </w:p>
              </w:tc>
              <w:tc>
                <w:tcPr>
                  <w:tcW w:w="158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Quality of Care</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County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Albany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22</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3F7C8E" w:rsidRDefault="001670EC" w:rsidP="00B97E71">
                  <w:pPr>
                    <w:spacing w:after="0" w:line="240" w:lineRule="auto"/>
                    <w:jc w:val="right"/>
                    <w:rPr>
                      <w:rFonts w:cs="Arial"/>
                    </w:rPr>
                  </w:pPr>
                  <w:r w:rsidRPr="003F7C8E">
                    <w:rPr>
                      <w:rFonts w:cs="Arial"/>
                    </w:rPr>
                    <w:t>6</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22</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37</w:t>
                  </w:r>
                </w:p>
              </w:tc>
              <w:tc>
                <w:tcPr>
                  <w:tcW w:w="128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3F7C8E" w:rsidRDefault="001670EC" w:rsidP="00B97E71">
                  <w:pPr>
                    <w:spacing w:after="0" w:line="240" w:lineRule="auto"/>
                    <w:jc w:val="right"/>
                    <w:rPr>
                      <w:rFonts w:cs="Arial"/>
                    </w:rPr>
                  </w:pPr>
                  <w:r w:rsidRPr="003F7C8E">
                    <w:rPr>
                      <w:rFonts w:cs="Arial"/>
                    </w:rPr>
                    <w:t>6</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14</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8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Clinton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20</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37</w:t>
                  </w:r>
                </w:p>
              </w:tc>
              <w:tc>
                <w:tcPr>
                  <w:tcW w:w="11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3F7C8E" w:rsidRDefault="001670EC" w:rsidP="00B97E71">
                  <w:pPr>
                    <w:spacing w:after="0" w:line="240" w:lineRule="auto"/>
                    <w:jc w:val="right"/>
                    <w:rPr>
                      <w:rFonts w:cs="Arial"/>
                    </w:rPr>
                  </w:pPr>
                  <w:r w:rsidRPr="003F7C8E">
                    <w:rPr>
                      <w:rFonts w:cs="Arial"/>
                    </w:rPr>
                    <w:t>59</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21</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24</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3F7C8E" w:rsidRDefault="001670EC" w:rsidP="00B97E71">
                  <w:pPr>
                    <w:spacing w:after="0" w:line="240" w:lineRule="auto"/>
                    <w:jc w:val="right"/>
                    <w:rPr>
                      <w:rFonts w:cs="Arial"/>
                    </w:rPr>
                  </w:pPr>
                  <w:r w:rsidRPr="003F7C8E">
                    <w:rPr>
                      <w:rFonts w:cs="Arial"/>
                    </w:rPr>
                    <w:t>50</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Columbia</w:t>
                  </w:r>
                </w:p>
              </w:tc>
              <w:tc>
                <w:tcPr>
                  <w:tcW w:w="112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3F7C8E" w:rsidRDefault="001670EC" w:rsidP="00B97E71">
                  <w:pPr>
                    <w:spacing w:after="0" w:line="240" w:lineRule="auto"/>
                    <w:jc w:val="right"/>
                    <w:rPr>
                      <w:rFonts w:cs="Arial"/>
                    </w:rPr>
                  </w:pPr>
                  <w:r w:rsidRPr="003F7C8E">
                    <w:rPr>
                      <w:rFonts w:cs="Arial"/>
                    </w:rPr>
                    <w:t>6</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8</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52</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25</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44</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33</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Essex</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10</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20</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50</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11</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52</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13</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Franklin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21</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33</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56</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41</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57</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38</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Fulton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52</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46</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54</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43</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41</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47</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Hamilton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31</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7</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32</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17</w:t>
                  </w:r>
                </w:p>
              </w:tc>
              <w:tc>
                <w:tcPr>
                  <w:tcW w:w="12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3F7C8E" w:rsidRDefault="001670EC" w:rsidP="00B97E71">
                  <w:pPr>
                    <w:spacing w:after="0" w:line="240" w:lineRule="auto"/>
                    <w:jc w:val="right"/>
                    <w:rPr>
                      <w:rFonts w:cs="Arial"/>
                    </w:rPr>
                  </w:pPr>
                  <w:r w:rsidRPr="003F7C8E">
                    <w:rPr>
                      <w:rFonts w:cs="Arial"/>
                    </w:rPr>
                    <w:t>61</w:t>
                  </w:r>
                </w:p>
              </w:tc>
              <w:tc>
                <w:tcPr>
                  <w:tcW w:w="158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3F7C8E" w:rsidRDefault="001670EC" w:rsidP="00B97E71">
                  <w:pPr>
                    <w:spacing w:after="0" w:line="240" w:lineRule="auto"/>
                    <w:jc w:val="right"/>
                    <w:rPr>
                      <w:rFonts w:cs="Arial"/>
                    </w:rPr>
                  </w:pPr>
                  <w:r w:rsidRPr="003F7C8E">
                    <w:rPr>
                      <w:rFonts w:cs="Arial"/>
                    </w:rPr>
                    <w:t>2</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Default="001670EC" w:rsidP="00B97E71">
                  <w:pPr>
                    <w:spacing w:after="0" w:line="240" w:lineRule="auto"/>
                    <w:rPr>
                      <w:rFonts w:cs="Arial"/>
                    </w:rPr>
                  </w:pPr>
                  <w:r>
                    <w:rPr>
                      <w:rFonts w:cs="Arial"/>
                    </w:rPr>
                    <w:t>Montgomery</w:t>
                  </w:r>
                </w:p>
              </w:tc>
              <w:tc>
                <w:tcPr>
                  <w:tcW w:w="1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3F7C8E" w:rsidRDefault="001670EC" w:rsidP="00B97E71">
                  <w:pPr>
                    <w:spacing w:after="0" w:line="240" w:lineRule="auto"/>
                    <w:jc w:val="right"/>
                    <w:rPr>
                      <w:rFonts w:cs="Arial"/>
                    </w:rPr>
                  </w:pPr>
                  <w:r>
                    <w:rPr>
                      <w:rFonts w:cs="Arial"/>
                    </w:rPr>
                    <w:t>61</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3F7C8E" w:rsidRDefault="001670EC" w:rsidP="00B97E71">
                  <w:pPr>
                    <w:spacing w:after="0" w:line="240" w:lineRule="auto"/>
                    <w:jc w:val="right"/>
                    <w:rPr>
                      <w:rFonts w:cs="Arial"/>
                    </w:rPr>
                  </w:pPr>
                  <w:r>
                    <w:rPr>
                      <w:rFonts w:cs="Arial"/>
                    </w:rPr>
                    <w:t>57</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Pr>
                      <w:rFonts w:cs="Arial"/>
                    </w:rPr>
                    <w:t>30</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3F7C8E" w:rsidRDefault="001670EC" w:rsidP="00B97E71">
                  <w:pPr>
                    <w:spacing w:after="0" w:line="240" w:lineRule="auto"/>
                    <w:jc w:val="right"/>
                    <w:rPr>
                      <w:rFonts w:cs="Arial"/>
                    </w:rPr>
                  </w:pPr>
                  <w:r>
                    <w:rPr>
                      <w:rFonts w:cs="Arial"/>
                    </w:rPr>
                    <w:t>55</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Pr>
                      <w:rFonts w:cs="Arial"/>
                    </w:rPr>
                    <w:t>30</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Pr>
                      <w:rFonts w:cs="Arial"/>
                    </w:rPr>
                    <w:t>43</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Rensselaer</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40</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35</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43</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42</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25</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45</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Saratoga</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14</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15</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29</w:t>
                  </w:r>
                </w:p>
              </w:tc>
              <w:tc>
                <w:tcPr>
                  <w:tcW w:w="102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3F7C8E" w:rsidRDefault="001670EC" w:rsidP="00B97E71">
                  <w:pPr>
                    <w:spacing w:after="0" w:line="240" w:lineRule="auto"/>
                    <w:jc w:val="right"/>
                    <w:rPr>
                      <w:rFonts w:cs="Arial"/>
                    </w:rPr>
                  </w:pPr>
                  <w:r w:rsidRPr="003F7C8E">
                    <w:rPr>
                      <w:rFonts w:cs="Arial"/>
                    </w:rPr>
                    <w:t>6</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7</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12</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Schenectady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29</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27</w:t>
                  </w:r>
                </w:p>
              </w:tc>
              <w:tc>
                <w:tcPr>
                  <w:tcW w:w="11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3F7C8E" w:rsidRDefault="001670EC" w:rsidP="00B97E71">
                  <w:pPr>
                    <w:spacing w:after="0" w:line="240" w:lineRule="auto"/>
                    <w:jc w:val="right"/>
                    <w:rPr>
                      <w:rFonts w:cs="Arial"/>
                    </w:rPr>
                  </w:pPr>
                  <w:r w:rsidRPr="003F7C8E">
                    <w:rPr>
                      <w:rFonts w:cs="Arial"/>
                    </w:rPr>
                    <w:t>5</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49</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19</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6</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Warren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45</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30</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45</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34</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9</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Washington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56</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54</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31</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44</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51</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3F7C8E" w:rsidRDefault="001670EC" w:rsidP="00B97E71">
                  <w:pPr>
                    <w:spacing w:after="0" w:line="240" w:lineRule="auto"/>
                    <w:jc w:val="right"/>
                    <w:rPr>
                      <w:rFonts w:cs="Arial"/>
                    </w:rPr>
                  </w:pPr>
                  <w:r w:rsidRPr="003F7C8E">
                    <w:rPr>
                      <w:rFonts w:cs="Arial"/>
                    </w:rPr>
                    <w:t>7</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p>
              </w:tc>
            </w:tr>
            <w:tr w:rsidR="001670EC" w:rsidRPr="00680D98" w:rsidTr="00B172E7">
              <w:trPr>
                <w:trHeight w:val="108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Default="001670EC" w:rsidP="00B97E71">
                  <w:pPr>
                    <w:spacing w:after="0" w:line="240" w:lineRule="auto"/>
                    <w:rPr>
                      <w:rFonts w:cs="Arial"/>
                    </w:rPr>
                  </w:pPr>
                </w:p>
                <w:p w:rsidR="001670EC" w:rsidRPr="00B97E71" w:rsidRDefault="001670EC" w:rsidP="00B97E71">
                  <w:pPr>
                    <w:spacing w:after="0" w:line="240" w:lineRule="auto"/>
                    <w:rPr>
                      <w:rFonts w:cs="Arial"/>
                    </w:rPr>
                  </w:pPr>
                </w:p>
              </w:tc>
              <w:tc>
                <w:tcPr>
                  <w:tcW w:w="1127"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Education</w:t>
                  </w:r>
                </w:p>
              </w:tc>
              <w:tc>
                <w:tcPr>
                  <w:tcW w:w="144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Employment</w:t>
                  </w:r>
                </w:p>
              </w:tc>
              <w:tc>
                <w:tcPr>
                  <w:tcW w:w="110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Income</w:t>
                  </w:r>
                </w:p>
              </w:tc>
              <w:tc>
                <w:tcPr>
                  <w:tcW w:w="102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Family &amp; Social Support</w:t>
                  </w:r>
                </w:p>
              </w:tc>
              <w:tc>
                <w:tcPr>
                  <w:tcW w:w="128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Community Safety</w:t>
                  </w:r>
                </w:p>
              </w:tc>
              <w:tc>
                <w:tcPr>
                  <w:tcW w:w="1580"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B97E71">
                  <w:pPr>
                    <w:spacing w:after="0" w:line="240" w:lineRule="auto"/>
                    <w:jc w:val="center"/>
                    <w:rPr>
                      <w:rFonts w:cs="Arial"/>
                      <w:b/>
                      <w:bCs/>
                    </w:rPr>
                  </w:pPr>
                  <w:r w:rsidRPr="00B97E71">
                    <w:rPr>
                      <w:rFonts w:cs="Arial"/>
                      <w:b/>
                      <w:bCs/>
                    </w:rPr>
                    <w:t>Environmental Quality</w:t>
                  </w:r>
                </w:p>
              </w:tc>
              <w:tc>
                <w:tcPr>
                  <w:tcW w:w="1399" w:type="dxa"/>
                  <w:tcBorders>
                    <w:top w:val="single" w:sz="4" w:space="0" w:color="auto"/>
                    <w:left w:val="single" w:sz="4" w:space="0" w:color="auto"/>
                    <w:bottom w:val="single" w:sz="4" w:space="0" w:color="auto"/>
                    <w:right w:val="single" w:sz="4" w:space="0" w:color="auto"/>
                  </w:tcBorders>
                  <w:vAlign w:val="bottom"/>
                </w:tcPr>
                <w:p w:rsidR="001670EC" w:rsidRPr="00B97E71" w:rsidRDefault="001670EC" w:rsidP="00DB43C3">
                  <w:pPr>
                    <w:spacing w:after="0" w:line="240" w:lineRule="auto"/>
                    <w:jc w:val="center"/>
                    <w:rPr>
                      <w:rFonts w:cs="Arial"/>
                      <w:b/>
                      <w:bCs/>
                    </w:rPr>
                  </w:pPr>
                  <w:r w:rsidRPr="00B97E71">
                    <w:rPr>
                      <w:rFonts w:cs="Arial"/>
                      <w:b/>
                      <w:bCs/>
                    </w:rPr>
                    <w:t>Built Envir</w:t>
                  </w:r>
                  <w:r>
                    <w:rPr>
                      <w:rFonts w:cs="Arial"/>
                      <w:b/>
                      <w:bCs/>
                    </w:rPr>
                    <w:t>o</w:t>
                  </w:r>
                  <w:r w:rsidRPr="00B97E71">
                    <w:rPr>
                      <w:rFonts w:cs="Arial"/>
                      <w:b/>
                      <w:bCs/>
                    </w:rPr>
                    <w:t>nment</w:t>
                  </w:r>
                </w:p>
              </w:tc>
            </w:tr>
            <w:tr w:rsidR="001670EC" w:rsidRPr="00680D98" w:rsidTr="00B172E7">
              <w:trPr>
                <w:trHeight w:val="24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County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Rank</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Albany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9</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8</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20</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42</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55</w:t>
                  </w:r>
                </w:p>
              </w:tc>
              <w:tc>
                <w:tcPr>
                  <w:tcW w:w="158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1</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35</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Clinton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44</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58</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22</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29</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19</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7</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57</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Columbia</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33</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10</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11</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25</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27</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15</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Essex</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27</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50</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30</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7</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15</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25</w:t>
                  </w:r>
                </w:p>
              </w:tc>
              <w:tc>
                <w:tcPr>
                  <w:tcW w:w="139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2</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Franklin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55</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48</w:t>
                  </w:r>
                </w:p>
              </w:tc>
              <w:tc>
                <w:tcPr>
                  <w:tcW w:w="11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sidRPr="00B97E71">
                    <w:rPr>
                      <w:rFonts w:cs="Arial"/>
                    </w:rPr>
                    <w:t>59</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41</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14</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44</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46</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Fulton</w:t>
                  </w:r>
                </w:p>
              </w:tc>
              <w:tc>
                <w:tcPr>
                  <w:tcW w:w="1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sidRPr="00B97E71">
                    <w:rPr>
                      <w:rFonts w:cs="Arial"/>
                    </w:rPr>
                    <w:t>61</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sidRPr="00B97E71">
                    <w:rPr>
                      <w:rFonts w:cs="Arial"/>
                    </w:rPr>
                    <w:t>59</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49</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56</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35</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21</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Hamilton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10</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23</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21</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8</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8</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sidRPr="00B97E71">
                    <w:rPr>
                      <w:rFonts w:cs="Arial"/>
                    </w:rPr>
                    <w:t>54</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33</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Pr>
                      <w:rFonts w:cs="Arial"/>
                    </w:rPr>
                    <w:t>Montgomery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Pr>
                      <w:rFonts w:cs="Arial"/>
                    </w:rPr>
                    <w:t>59</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Pr>
                      <w:rFonts w:cs="Arial"/>
                    </w:rPr>
                    <w:t>57</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Pr>
                      <w:rFonts w:cs="Arial"/>
                    </w:rPr>
                    <w:t>58</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Pr>
                      <w:rFonts w:cs="Arial"/>
                    </w:rPr>
                    <w:t>57</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Pr>
                      <w:rFonts w:cs="Arial"/>
                    </w:rPr>
                    <w:t>41</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Pr>
                      <w:rFonts w:cs="Arial"/>
                    </w:rPr>
                    <w:t>12</w:t>
                  </w:r>
                </w:p>
              </w:tc>
              <w:tc>
                <w:tcPr>
                  <w:tcW w:w="139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Pr>
                      <w:rFonts w:cs="Arial"/>
                    </w:rPr>
                    <w:t>62</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Rensselaer</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11</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14</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18</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45</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51</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59</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Saratoga</w:t>
                  </w:r>
                </w:p>
              </w:tc>
              <w:tc>
                <w:tcPr>
                  <w:tcW w:w="112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3</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3</w:t>
                  </w:r>
                </w:p>
              </w:tc>
              <w:tc>
                <w:tcPr>
                  <w:tcW w:w="11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2</w:t>
                  </w:r>
                </w:p>
              </w:tc>
              <w:tc>
                <w:tcPr>
                  <w:tcW w:w="102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1</w:t>
                  </w:r>
                </w:p>
              </w:tc>
              <w:tc>
                <w:tcPr>
                  <w:tcW w:w="128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670EC" w:rsidRPr="00B97E71" w:rsidRDefault="001670EC" w:rsidP="00B97E71">
                  <w:pPr>
                    <w:spacing w:after="0" w:line="240" w:lineRule="auto"/>
                    <w:jc w:val="right"/>
                    <w:rPr>
                      <w:rFonts w:cs="Arial"/>
                    </w:rPr>
                  </w:pPr>
                  <w:r w:rsidRPr="00B97E71">
                    <w:rPr>
                      <w:rFonts w:cs="Arial"/>
                    </w:rPr>
                    <w:t>4</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9</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10</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Schenectady</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29</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14</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39</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9</w:t>
                  </w:r>
                </w:p>
              </w:tc>
              <w:tc>
                <w:tcPr>
                  <w:tcW w:w="12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670EC" w:rsidRPr="00B97E71" w:rsidRDefault="001670EC" w:rsidP="00B97E71">
                  <w:pPr>
                    <w:spacing w:after="0" w:line="240" w:lineRule="auto"/>
                    <w:jc w:val="right"/>
                    <w:rPr>
                      <w:rFonts w:cs="Arial"/>
                    </w:rPr>
                  </w:pPr>
                  <w:r w:rsidRPr="00B97E71">
                    <w:rPr>
                      <w:rFonts w:cs="Arial"/>
                    </w:rPr>
                    <w:t>56</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61</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Warren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37</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35</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22</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27</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18</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39</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w:t>
                  </w:r>
                </w:p>
              </w:tc>
            </w:tr>
            <w:tr w:rsidR="001670EC" w:rsidRPr="00680D98" w:rsidTr="00B172E7">
              <w:trPr>
                <w:trHeight w:val="300"/>
              </w:trPr>
              <w:tc>
                <w:tcPr>
                  <w:tcW w:w="1391"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rPr>
                      <w:rFonts w:cs="Arial"/>
                    </w:rPr>
                  </w:pPr>
                  <w:r w:rsidRPr="00B97E71">
                    <w:rPr>
                      <w:rFonts w:cs="Arial"/>
                    </w:rPr>
                    <w:t>Washington</w:t>
                  </w:r>
                </w:p>
              </w:tc>
              <w:tc>
                <w:tcPr>
                  <w:tcW w:w="1127"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58</w:t>
                  </w:r>
                </w:p>
              </w:tc>
              <w:tc>
                <w:tcPr>
                  <w:tcW w:w="144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14</w:t>
                  </w:r>
                </w:p>
              </w:tc>
              <w:tc>
                <w:tcPr>
                  <w:tcW w:w="110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31</w:t>
                  </w:r>
                </w:p>
              </w:tc>
              <w:tc>
                <w:tcPr>
                  <w:tcW w:w="102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16</w:t>
                  </w:r>
                </w:p>
              </w:tc>
              <w:tc>
                <w:tcPr>
                  <w:tcW w:w="12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16</w:t>
                  </w:r>
                </w:p>
              </w:tc>
              <w:tc>
                <w:tcPr>
                  <w:tcW w:w="1580"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19</w:t>
                  </w:r>
                </w:p>
              </w:tc>
              <w:tc>
                <w:tcPr>
                  <w:tcW w:w="1399" w:type="dxa"/>
                  <w:tcBorders>
                    <w:top w:val="single" w:sz="4" w:space="0" w:color="auto"/>
                    <w:left w:val="single" w:sz="4" w:space="0" w:color="auto"/>
                    <w:bottom w:val="single" w:sz="4" w:space="0" w:color="auto"/>
                    <w:right w:val="single" w:sz="4" w:space="0" w:color="auto"/>
                  </w:tcBorders>
                  <w:noWrap/>
                  <w:vAlign w:val="bottom"/>
                </w:tcPr>
                <w:p w:rsidR="001670EC" w:rsidRPr="00B97E71" w:rsidRDefault="001670EC" w:rsidP="00B97E71">
                  <w:pPr>
                    <w:spacing w:after="0" w:line="240" w:lineRule="auto"/>
                    <w:jc w:val="right"/>
                    <w:rPr>
                      <w:rFonts w:cs="Arial"/>
                    </w:rPr>
                  </w:pPr>
                  <w:r w:rsidRPr="00B97E71">
                    <w:rPr>
                      <w:rFonts w:cs="Arial"/>
                    </w:rPr>
                    <w:t>34</w:t>
                  </w:r>
                </w:p>
              </w:tc>
            </w:tr>
          </w:tbl>
          <w:p w:rsidR="001670EC" w:rsidRPr="00B97E71" w:rsidRDefault="001670EC" w:rsidP="00B97E71">
            <w:pPr>
              <w:spacing w:after="0" w:line="240" w:lineRule="auto"/>
              <w:rPr>
                <w:rFonts w:cs="Arial"/>
              </w:rPr>
            </w:pPr>
          </w:p>
        </w:tc>
        <w:tc>
          <w:tcPr>
            <w:tcW w:w="1060" w:type="dxa"/>
            <w:tcBorders>
              <w:top w:val="single" w:sz="4" w:space="0" w:color="auto"/>
              <w:bottom w:val="single" w:sz="4" w:space="0" w:color="auto"/>
            </w:tcBorders>
            <w:vAlign w:val="bottom"/>
          </w:tcPr>
          <w:p w:rsidR="001670EC" w:rsidRPr="00B97E71" w:rsidRDefault="001670EC" w:rsidP="00B97E71">
            <w:pPr>
              <w:spacing w:after="0" w:line="240" w:lineRule="auto"/>
              <w:jc w:val="center"/>
              <w:rPr>
                <w:rFonts w:cs="Arial"/>
                <w:b/>
                <w:bCs/>
              </w:rPr>
            </w:pPr>
          </w:p>
        </w:tc>
        <w:tc>
          <w:tcPr>
            <w:tcW w:w="1440" w:type="dxa"/>
            <w:tcBorders>
              <w:top w:val="single" w:sz="4" w:space="0" w:color="auto"/>
              <w:bottom w:val="single" w:sz="4" w:space="0" w:color="auto"/>
            </w:tcBorders>
            <w:vAlign w:val="bottom"/>
          </w:tcPr>
          <w:p w:rsidR="001670EC" w:rsidRPr="00B97E71" w:rsidRDefault="001670EC" w:rsidP="00B97E71">
            <w:pPr>
              <w:spacing w:after="0" w:line="240" w:lineRule="auto"/>
              <w:jc w:val="center"/>
              <w:rPr>
                <w:rFonts w:cs="Arial"/>
                <w:b/>
                <w:bCs/>
              </w:rPr>
            </w:pPr>
          </w:p>
        </w:tc>
        <w:tc>
          <w:tcPr>
            <w:tcW w:w="1100" w:type="dxa"/>
            <w:tcBorders>
              <w:top w:val="single" w:sz="4" w:space="0" w:color="auto"/>
              <w:bottom w:val="single" w:sz="4" w:space="0" w:color="auto"/>
            </w:tcBorders>
            <w:vAlign w:val="bottom"/>
          </w:tcPr>
          <w:p w:rsidR="001670EC" w:rsidRPr="00B97E71" w:rsidRDefault="001670EC" w:rsidP="00B97E71">
            <w:pPr>
              <w:spacing w:after="0" w:line="240" w:lineRule="auto"/>
              <w:jc w:val="center"/>
              <w:rPr>
                <w:rFonts w:cs="Arial"/>
                <w:b/>
                <w:bCs/>
              </w:rPr>
            </w:pPr>
          </w:p>
        </w:tc>
        <w:tc>
          <w:tcPr>
            <w:tcW w:w="1020" w:type="dxa"/>
            <w:tcBorders>
              <w:top w:val="single" w:sz="4" w:space="0" w:color="auto"/>
              <w:bottom w:val="single" w:sz="4" w:space="0" w:color="auto"/>
            </w:tcBorders>
            <w:vAlign w:val="bottom"/>
          </w:tcPr>
          <w:p w:rsidR="001670EC" w:rsidRPr="00B97E71" w:rsidRDefault="001670EC" w:rsidP="00B97E71">
            <w:pPr>
              <w:spacing w:after="0" w:line="240" w:lineRule="auto"/>
              <w:jc w:val="center"/>
              <w:rPr>
                <w:rFonts w:cs="Arial"/>
                <w:b/>
                <w:bCs/>
              </w:rPr>
            </w:pPr>
          </w:p>
        </w:tc>
        <w:tc>
          <w:tcPr>
            <w:tcW w:w="1260" w:type="dxa"/>
            <w:tcBorders>
              <w:top w:val="single" w:sz="4" w:space="0" w:color="auto"/>
              <w:bottom w:val="single" w:sz="4" w:space="0" w:color="auto"/>
            </w:tcBorders>
            <w:vAlign w:val="bottom"/>
          </w:tcPr>
          <w:p w:rsidR="001670EC" w:rsidRPr="00B97E71" w:rsidRDefault="001670EC" w:rsidP="00B97E71">
            <w:pPr>
              <w:spacing w:after="0" w:line="240" w:lineRule="auto"/>
              <w:jc w:val="center"/>
              <w:rPr>
                <w:rFonts w:cs="Arial"/>
                <w:b/>
                <w:bCs/>
              </w:rPr>
            </w:pPr>
          </w:p>
        </w:tc>
        <w:tc>
          <w:tcPr>
            <w:tcW w:w="1580" w:type="dxa"/>
            <w:tcBorders>
              <w:top w:val="single" w:sz="4" w:space="0" w:color="auto"/>
              <w:bottom w:val="single" w:sz="4" w:space="0" w:color="auto"/>
            </w:tcBorders>
            <w:vAlign w:val="bottom"/>
          </w:tcPr>
          <w:p w:rsidR="001670EC" w:rsidRPr="00B97E71" w:rsidRDefault="001670EC" w:rsidP="00B97E71">
            <w:pPr>
              <w:spacing w:after="0" w:line="240" w:lineRule="auto"/>
              <w:jc w:val="center"/>
              <w:rPr>
                <w:rFonts w:cs="Arial"/>
                <w:b/>
                <w:bCs/>
              </w:rPr>
            </w:pPr>
          </w:p>
        </w:tc>
        <w:tc>
          <w:tcPr>
            <w:tcW w:w="1320" w:type="dxa"/>
            <w:tcBorders>
              <w:top w:val="single" w:sz="4" w:space="0" w:color="auto"/>
              <w:bottom w:val="single" w:sz="4" w:space="0" w:color="auto"/>
            </w:tcBorders>
            <w:noWrap/>
            <w:vAlign w:val="bottom"/>
          </w:tcPr>
          <w:p w:rsidR="001670EC" w:rsidRPr="00B97E71" w:rsidRDefault="001670EC" w:rsidP="00B97E71">
            <w:pPr>
              <w:spacing w:after="0" w:line="240" w:lineRule="auto"/>
              <w:rPr>
                <w:rFonts w:cs="Arial"/>
              </w:rPr>
            </w:pPr>
          </w:p>
        </w:tc>
        <w:tc>
          <w:tcPr>
            <w:tcW w:w="700" w:type="dxa"/>
            <w:tcBorders>
              <w:top w:val="single" w:sz="4" w:space="0" w:color="auto"/>
              <w:bottom w:val="single" w:sz="4" w:space="0" w:color="auto"/>
            </w:tcBorders>
            <w:noWrap/>
            <w:vAlign w:val="bottom"/>
          </w:tcPr>
          <w:p w:rsidR="001670EC" w:rsidRPr="00B97E71" w:rsidRDefault="001670EC" w:rsidP="00B97E71">
            <w:pPr>
              <w:spacing w:after="0" w:line="240" w:lineRule="auto"/>
              <w:rPr>
                <w:rFonts w:cs="Arial"/>
              </w:rPr>
            </w:pPr>
          </w:p>
        </w:tc>
      </w:tr>
    </w:tbl>
    <w:p w:rsidR="001670EC" w:rsidRPr="00B618D6" w:rsidRDefault="001670EC" w:rsidP="00BA0F72">
      <w:pPr>
        <w:rPr>
          <w:sz w:val="16"/>
          <w:szCs w:val="16"/>
        </w:rPr>
      </w:pPr>
      <w:r w:rsidRPr="00B618D6">
        <w:rPr>
          <w:sz w:val="16"/>
          <w:szCs w:val="16"/>
        </w:rPr>
        <w:t>Source:  County Health Rankings &amp; Roadmaps, A Healthier Nation, County by County, Robert Wood Johnson Foundation and the University of Wisconsin Population Health Institute – 2013 Note:  Highlighted cells show the Counties that rank highest in the region.</w:t>
      </w:r>
    </w:p>
    <w:p w:rsidR="001670EC" w:rsidRDefault="001670EC" w:rsidP="00D00D03"/>
    <w:p w:rsidR="001670EC" w:rsidRDefault="001670EC" w:rsidP="00054522">
      <w:pPr>
        <w:pStyle w:val="Heading2"/>
        <w:rPr>
          <w:color w:val="C00000"/>
        </w:rPr>
      </w:pPr>
      <w:bookmarkStart w:id="35" w:name="_Toc355250979"/>
      <w:r>
        <w:t>T</w:t>
      </w:r>
      <w:r w:rsidRPr="009550B9">
        <w:t xml:space="preserve">able </w:t>
      </w:r>
      <w:r>
        <w:t>2A: Fulton County Comparison of Factors/Focus Areas to State and Regional Rankings</w:t>
      </w:r>
      <w:bookmarkEnd w:id="35"/>
      <w:r>
        <w:t xml:space="preserve"> </w:t>
      </w:r>
    </w:p>
    <w:p w:rsidR="001670EC" w:rsidRPr="00AB26B1" w:rsidRDefault="001670EC" w:rsidP="00AB26B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tblGrid>
      <w:tr w:rsidR="001670EC" w:rsidRPr="00680D98" w:rsidTr="00C00F37">
        <w:trPr>
          <w:jc w:val="center"/>
        </w:trPr>
        <w:tc>
          <w:tcPr>
            <w:tcW w:w="2394" w:type="dxa"/>
          </w:tcPr>
          <w:p w:rsidR="001670EC" w:rsidRPr="00680D98" w:rsidRDefault="001670EC" w:rsidP="003D783E">
            <w:pPr>
              <w:jc w:val="both"/>
              <w:rPr>
                <w:b/>
                <w:u w:val="single"/>
              </w:rPr>
            </w:pPr>
            <w:r w:rsidRPr="00680D98">
              <w:rPr>
                <w:b/>
                <w:u w:val="single"/>
              </w:rPr>
              <w:t>Factor/Focus Area</w:t>
            </w:r>
          </w:p>
        </w:tc>
        <w:tc>
          <w:tcPr>
            <w:tcW w:w="2394" w:type="dxa"/>
          </w:tcPr>
          <w:p w:rsidR="001670EC" w:rsidRPr="00680D98" w:rsidRDefault="001670EC" w:rsidP="003D783E">
            <w:pPr>
              <w:jc w:val="center"/>
              <w:rPr>
                <w:b/>
                <w:u w:val="single"/>
              </w:rPr>
            </w:pPr>
            <w:r w:rsidRPr="00680D98">
              <w:rPr>
                <w:b/>
                <w:u w:val="single"/>
              </w:rPr>
              <w:t>State-Wide Rank</w:t>
            </w:r>
          </w:p>
        </w:tc>
        <w:tc>
          <w:tcPr>
            <w:tcW w:w="2394" w:type="dxa"/>
          </w:tcPr>
          <w:p w:rsidR="001670EC" w:rsidRPr="00680D98" w:rsidRDefault="001670EC" w:rsidP="003D783E">
            <w:pPr>
              <w:jc w:val="center"/>
              <w:rPr>
                <w:b/>
                <w:u w:val="single"/>
              </w:rPr>
            </w:pPr>
            <w:r w:rsidRPr="00680D98">
              <w:rPr>
                <w:b/>
                <w:u w:val="single"/>
              </w:rPr>
              <w:t>Greater Regional Rank</w:t>
            </w:r>
          </w:p>
        </w:tc>
      </w:tr>
      <w:tr w:rsidR="001670EC" w:rsidRPr="00680D98" w:rsidTr="00C00F37">
        <w:trPr>
          <w:jc w:val="center"/>
        </w:trPr>
        <w:tc>
          <w:tcPr>
            <w:tcW w:w="2394" w:type="dxa"/>
          </w:tcPr>
          <w:p w:rsidR="001670EC" w:rsidRPr="00680D98" w:rsidRDefault="001670EC" w:rsidP="003D783E">
            <w:pPr>
              <w:jc w:val="both"/>
              <w:rPr>
                <w:b/>
              </w:rPr>
            </w:pPr>
            <w:r w:rsidRPr="00680D98">
              <w:rPr>
                <w:b/>
              </w:rPr>
              <w:t>Tobacco Use</w:t>
            </w:r>
          </w:p>
        </w:tc>
        <w:tc>
          <w:tcPr>
            <w:tcW w:w="2394" w:type="dxa"/>
          </w:tcPr>
          <w:p w:rsidR="001670EC" w:rsidRPr="00680D98" w:rsidRDefault="001670EC" w:rsidP="00AE174F">
            <w:pPr>
              <w:jc w:val="center"/>
            </w:pPr>
            <w:r w:rsidRPr="00680D98">
              <w:t>52</w:t>
            </w:r>
          </w:p>
        </w:tc>
        <w:tc>
          <w:tcPr>
            <w:tcW w:w="2394" w:type="dxa"/>
          </w:tcPr>
          <w:p w:rsidR="001670EC" w:rsidRPr="00680D98" w:rsidRDefault="001670EC" w:rsidP="003D783E">
            <w:pPr>
              <w:jc w:val="center"/>
            </w:pPr>
            <w:r w:rsidRPr="00680D98">
              <w:t>10</w:t>
            </w:r>
          </w:p>
        </w:tc>
      </w:tr>
      <w:tr w:rsidR="001670EC" w:rsidRPr="00680D98" w:rsidTr="00C00F37">
        <w:trPr>
          <w:jc w:val="center"/>
        </w:trPr>
        <w:tc>
          <w:tcPr>
            <w:tcW w:w="2394" w:type="dxa"/>
          </w:tcPr>
          <w:p w:rsidR="001670EC" w:rsidRPr="00680D98" w:rsidRDefault="001670EC" w:rsidP="00165B6B">
            <w:pPr>
              <w:jc w:val="both"/>
              <w:rPr>
                <w:b/>
              </w:rPr>
            </w:pPr>
            <w:r w:rsidRPr="00680D98">
              <w:rPr>
                <w:b/>
              </w:rPr>
              <w:t>Diet and Exercise</w:t>
            </w:r>
          </w:p>
        </w:tc>
        <w:tc>
          <w:tcPr>
            <w:tcW w:w="2394" w:type="dxa"/>
          </w:tcPr>
          <w:p w:rsidR="001670EC" w:rsidRPr="00680D98" w:rsidRDefault="001670EC" w:rsidP="003D783E">
            <w:pPr>
              <w:jc w:val="center"/>
            </w:pPr>
            <w:r w:rsidRPr="00680D98">
              <w:t>46</w:t>
            </w:r>
          </w:p>
        </w:tc>
        <w:tc>
          <w:tcPr>
            <w:tcW w:w="2394" w:type="dxa"/>
          </w:tcPr>
          <w:p w:rsidR="001670EC" w:rsidRPr="00680D98" w:rsidRDefault="001670EC" w:rsidP="003D783E">
            <w:pPr>
              <w:jc w:val="center"/>
            </w:pPr>
            <w:r w:rsidRPr="00680D98">
              <w:t>10</w:t>
            </w:r>
          </w:p>
        </w:tc>
      </w:tr>
      <w:tr w:rsidR="001670EC" w:rsidRPr="00680D98" w:rsidTr="00C00F37">
        <w:trPr>
          <w:jc w:val="center"/>
        </w:trPr>
        <w:tc>
          <w:tcPr>
            <w:tcW w:w="2394" w:type="dxa"/>
          </w:tcPr>
          <w:p w:rsidR="001670EC" w:rsidRPr="00680D98" w:rsidRDefault="001670EC" w:rsidP="003D783E">
            <w:pPr>
              <w:jc w:val="both"/>
              <w:rPr>
                <w:b/>
              </w:rPr>
            </w:pPr>
            <w:r w:rsidRPr="00680D98">
              <w:rPr>
                <w:b/>
              </w:rPr>
              <w:t>Alcohol Use</w:t>
            </w:r>
          </w:p>
        </w:tc>
        <w:tc>
          <w:tcPr>
            <w:tcW w:w="2394" w:type="dxa"/>
          </w:tcPr>
          <w:p w:rsidR="001670EC" w:rsidRPr="00680D98" w:rsidRDefault="001670EC" w:rsidP="003D783E">
            <w:pPr>
              <w:jc w:val="center"/>
            </w:pPr>
            <w:r w:rsidRPr="00680D98">
              <w:t>54</w:t>
            </w:r>
          </w:p>
        </w:tc>
        <w:tc>
          <w:tcPr>
            <w:tcW w:w="2394" w:type="dxa"/>
          </w:tcPr>
          <w:p w:rsidR="001670EC" w:rsidRPr="00680D98" w:rsidRDefault="001670EC" w:rsidP="003D783E">
            <w:pPr>
              <w:jc w:val="center"/>
            </w:pPr>
            <w:r w:rsidRPr="00680D98">
              <w:t>10</w:t>
            </w:r>
          </w:p>
        </w:tc>
      </w:tr>
      <w:tr w:rsidR="001670EC" w:rsidRPr="00680D98" w:rsidTr="00C00F37">
        <w:trPr>
          <w:jc w:val="center"/>
        </w:trPr>
        <w:tc>
          <w:tcPr>
            <w:tcW w:w="2394" w:type="dxa"/>
          </w:tcPr>
          <w:p w:rsidR="001670EC" w:rsidRPr="00680D98" w:rsidRDefault="001670EC" w:rsidP="003D783E">
            <w:pPr>
              <w:jc w:val="both"/>
              <w:rPr>
                <w:b/>
              </w:rPr>
            </w:pPr>
            <w:r w:rsidRPr="00680D98">
              <w:rPr>
                <w:b/>
              </w:rPr>
              <w:t>Sexual Activity</w:t>
            </w:r>
          </w:p>
        </w:tc>
        <w:tc>
          <w:tcPr>
            <w:tcW w:w="2394" w:type="dxa"/>
          </w:tcPr>
          <w:p w:rsidR="001670EC" w:rsidRPr="00680D98" w:rsidRDefault="001670EC" w:rsidP="003D783E">
            <w:pPr>
              <w:jc w:val="center"/>
            </w:pPr>
            <w:r w:rsidRPr="00680D98">
              <w:t>43</w:t>
            </w:r>
          </w:p>
        </w:tc>
        <w:tc>
          <w:tcPr>
            <w:tcW w:w="2394" w:type="dxa"/>
          </w:tcPr>
          <w:p w:rsidR="001670EC" w:rsidRPr="00680D98" w:rsidRDefault="001670EC" w:rsidP="003D783E">
            <w:pPr>
              <w:jc w:val="center"/>
            </w:pPr>
            <w:r w:rsidRPr="00680D98">
              <w:t>9</w:t>
            </w:r>
          </w:p>
        </w:tc>
      </w:tr>
      <w:tr w:rsidR="001670EC" w:rsidRPr="00680D98" w:rsidTr="00C00F37">
        <w:trPr>
          <w:jc w:val="center"/>
        </w:trPr>
        <w:tc>
          <w:tcPr>
            <w:tcW w:w="2394" w:type="dxa"/>
          </w:tcPr>
          <w:p w:rsidR="001670EC" w:rsidRPr="00680D98" w:rsidRDefault="001670EC" w:rsidP="003D783E">
            <w:pPr>
              <w:jc w:val="both"/>
              <w:rPr>
                <w:b/>
              </w:rPr>
            </w:pPr>
            <w:r w:rsidRPr="00680D98">
              <w:rPr>
                <w:b/>
              </w:rPr>
              <w:t>Access to Care</w:t>
            </w:r>
          </w:p>
        </w:tc>
        <w:tc>
          <w:tcPr>
            <w:tcW w:w="2394" w:type="dxa"/>
          </w:tcPr>
          <w:p w:rsidR="001670EC" w:rsidRPr="00680D98" w:rsidRDefault="001670EC" w:rsidP="003D783E">
            <w:pPr>
              <w:jc w:val="center"/>
            </w:pPr>
            <w:r w:rsidRPr="00680D98">
              <w:t>41</w:t>
            </w:r>
          </w:p>
        </w:tc>
        <w:tc>
          <w:tcPr>
            <w:tcW w:w="2394" w:type="dxa"/>
          </w:tcPr>
          <w:p w:rsidR="001670EC" w:rsidRPr="00680D98" w:rsidRDefault="001670EC" w:rsidP="003D783E">
            <w:pPr>
              <w:jc w:val="center"/>
            </w:pPr>
            <w:r w:rsidRPr="00680D98">
              <w:t>8</w:t>
            </w:r>
          </w:p>
        </w:tc>
      </w:tr>
      <w:tr w:rsidR="001670EC" w:rsidRPr="00680D98" w:rsidTr="00C00F37">
        <w:trPr>
          <w:jc w:val="center"/>
        </w:trPr>
        <w:tc>
          <w:tcPr>
            <w:tcW w:w="2394" w:type="dxa"/>
          </w:tcPr>
          <w:p w:rsidR="001670EC" w:rsidRPr="00680D98" w:rsidRDefault="001670EC" w:rsidP="003D783E">
            <w:pPr>
              <w:jc w:val="both"/>
              <w:rPr>
                <w:b/>
              </w:rPr>
            </w:pPr>
            <w:r w:rsidRPr="00680D98">
              <w:rPr>
                <w:b/>
              </w:rPr>
              <w:t>Quality of Care</w:t>
            </w:r>
          </w:p>
        </w:tc>
        <w:tc>
          <w:tcPr>
            <w:tcW w:w="2394" w:type="dxa"/>
          </w:tcPr>
          <w:p w:rsidR="001670EC" w:rsidRPr="00680D98" w:rsidRDefault="001670EC" w:rsidP="003D783E">
            <w:pPr>
              <w:jc w:val="center"/>
            </w:pPr>
            <w:r w:rsidRPr="00680D98">
              <w:t>47</w:t>
            </w:r>
          </w:p>
        </w:tc>
        <w:tc>
          <w:tcPr>
            <w:tcW w:w="2394" w:type="dxa"/>
          </w:tcPr>
          <w:p w:rsidR="001670EC" w:rsidRPr="00680D98" w:rsidRDefault="001670EC" w:rsidP="003D783E">
            <w:pPr>
              <w:jc w:val="center"/>
            </w:pPr>
            <w:r w:rsidRPr="00680D98">
              <w:t>11</w:t>
            </w:r>
          </w:p>
        </w:tc>
      </w:tr>
      <w:tr w:rsidR="001670EC" w:rsidRPr="00680D98" w:rsidTr="00C00F37">
        <w:trPr>
          <w:jc w:val="center"/>
        </w:trPr>
        <w:tc>
          <w:tcPr>
            <w:tcW w:w="2394" w:type="dxa"/>
          </w:tcPr>
          <w:p w:rsidR="001670EC" w:rsidRPr="00680D98" w:rsidRDefault="001670EC" w:rsidP="003D783E">
            <w:pPr>
              <w:jc w:val="both"/>
              <w:rPr>
                <w:b/>
              </w:rPr>
            </w:pPr>
            <w:r w:rsidRPr="00680D98">
              <w:rPr>
                <w:b/>
              </w:rPr>
              <w:t>Education</w:t>
            </w:r>
          </w:p>
        </w:tc>
        <w:tc>
          <w:tcPr>
            <w:tcW w:w="2394" w:type="dxa"/>
          </w:tcPr>
          <w:p w:rsidR="001670EC" w:rsidRPr="00680D98" w:rsidRDefault="001670EC" w:rsidP="003D783E">
            <w:pPr>
              <w:jc w:val="center"/>
            </w:pPr>
            <w:r w:rsidRPr="00680D98">
              <w:t>61</w:t>
            </w:r>
          </w:p>
        </w:tc>
        <w:tc>
          <w:tcPr>
            <w:tcW w:w="2394" w:type="dxa"/>
          </w:tcPr>
          <w:p w:rsidR="001670EC" w:rsidRPr="00680D98" w:rsidRDefault="001670EC" w:rsidP="003D783E">
            <w:pPr>
              <w:jc w:val="center"/>
            </w:pPr>
            <w:r w:rsidRPr="00680D98">
              <w:t>12</w:t>
            </w:r>
          </w:p>
        </w:tc>
      </w:tr>
      <w:tr w:rsidR="001670EC" w:rsidRPr="00680D98" w:rsidTr="00C00F37">
        <w:trPr>
          <w:jc w:val="center"/>
        </w:trPr>
        <w:tc>
          <w:tcPr>
            <w:tcW w:w="2394" w:type="dxa"/>
          </w:tcPr>
          <w:p w:rsidR="001670EC" w:rsidRPr="00680D98" w:rsidRDefault="001670EC" w:rsidP="003D783E">
            <w:pPr>
              <w:jc w:val="both"/>
              <w:rPr>
                <w:b/>
              </w:rPr>
            </w:pPr>
            <w:r w:rsidRPr="00680D98">
              <w:rPr>
                <w:b/>
              </w:rPr>
              <w:t>Employment</w:t>
            </w:r>
          </w:p>
        </w:tc>
        <w:tc>
          <w:tcPr>
            <w:tcW w:w="2394" w:type="dxa"/>
          </w:tcPr>
          <w:p w:rsidR="001670EC" w:rsidRPr="00680D98" w:rsidRDefault="001670EC" w:rsidP="003D783E">
            <w:pPr>
              <w:jc w:val="center"/>
            </w:pPr>
            <w:r w:rsidRPr="00680D98">
              <w:t>59</w:t>
            </w:r>
          </w:p>
        </w:tc>
        <w:tc>
          <w:tcPr>
            <w:tcW w:w="2394" w:type="dxa"/>
          </w:tcPr>
          <w:p w:rsidR="001670EC" w:rsidRPr="00680D98" w:rsidRDefault="001670EC" w:rsidP="003D783E">
            <w:pPr>
              <w:jc w:val="center"/>
            </w:pPr>
            <w:r w:rsidRPr="00680D98">
              <w:t>12</w:t>
            </w:r>
          </w:p>
        </w:tc>
      </w:tr>
      <w:tr w:rsidR="001670EC" w:rsidRPr="00680D98" w:rsidTr="00C00F37">
        <w:trPr>
          <w:jc w:val="center"/>
        </w:trPr>
        <w:tc>
          <w:tcPr>
            <w:tcW w:w="2394" w:type="dxa"/>
          </w:tcPr>
          <w:p w:rsidR="001670EC" w:rsidRPr="00680D98" w:rsidRDefault="001670EC" w:rsidP="003D783E">
            <w:pPr>
              <w:jc w:val="both"/>
              <w:rPr>
                <w:b/>
              </w:rPr>
            </w:pPr>
            <w:r w:rsidRPr="00680D98">
              <w:rPr>
                <w:b/>
              </w:rPr>
              <w:t>Income</w:t>
            </w:r>
          </w:p>
        </w:tc>
        <w:tc>
          <w:tcPr>
            <w:tcW w:w="2394" w:type="dxa"/>
          </w:tcPr>
          <w:p w:rsidR="001670EC" w:rsidRPr="00680D98" w:rsidRDefault="001670EC" w:rsidP="003D783E">
            <w:pPr>
              <w:jc w:val="center"/>
            </w:pPr>
            <w:r w:rsidRPr="00680D98">
              <w:t>49</w:t>
            </w:r>
          </w:p>
        </w:tc>
        <w:tc>
          <w:tcPr>
            <w:tcW w:w="2394" w:type="dxa"/>
          </w:tcPr>
          <w:p w:rsidR="001670EC" w:rsidRPr="00680D98" w:rsidRDefault="001670EC" w:rsidP="003D783E">
            <w:pPr>
              <w:jc w:val="center"/>
            </w:pPr>
            <w:r w:rsidRPr="00680D98">
              <w:t>10</w:t>
            </w:r>
          </w:p>
        </w:tc>
      </w:tr>
      <w:tr w:rsidR="001670EC" w:rsidRPr="00680D98" w:rsidTr="00C00F37">
        <w:trPr>
          <w:jc w:val="center"/>
        </w:trPr>
        <w:tc>
          <w:tcPr>
            <w:tcW w:w="2394" w:type="dxa"/>
          </w:tcPr>
          <w:p w:rsidR="001670EC" w:rsidRPr="00680D98" w:rsidRDefault="001670EC" w:rsidP="003D783E">
            <w:pPr>
              <w:jc w:val="both"/>
              <w:rPr>
                <w:b/>
              </w:rPr>
            </w:pPr>
            <w:r w:rsidRPr="00680D98">
              <w:rPr>
                <w:b/>
              </w:rPr>
              <w:t>Family &amp; Social Support</w:t>
            </w:r>
          </w:p>
        </w:tc>
        <w:tc>
          <w:tcPr>
            <w:tcW w:w="2394" w:type="dxa"/>
          </w:tcPr>
          <w:p w:rsidR="001670EC" w:rsidRPr="00680D98" w:rsidRDefault="001670EC" w:rsidP="003D783E">
            <w:pPr>
              <w:jc w:val="center"/>
            </w:pPr>
            <w:r w:rsidRPr="00680D98">
              <w:t>56</w:t>
            </w:r>
          </w:p>
        </w:tc>
        <w:tc>
          <w:tcPr>
            <w:tcW w:w="2394" w:type="dxa"/>
          </w:tcPr>
          <w:p w:rsidR="001670EC" w:rsidRPr="00680D98" w:rsidRDefault="001670EC" w:rsidP="003D783E">
            <w:pPr>
              <w:jc w:val="center"/>
            </w:pPr>
            <w:r w:rsidRPr="00680D98">
              <w:t>11</w:t>
            </w:r>
          </w:p>
        </w:tc>
      </w:tr>
      <w:tr w:rsidR="001670EC" w:rsidRPr="00680D98" w:rsidTr="00C00F37">
        <w:trPr>
          <w:jc w:val="center"/>
        </w:trPr>
        <w:tc>
          <w:tcPr>
            <w:tcW w:w="2394" w:type="dxa"/>
          </w:tcPr>
          <w:p w:rsidR="001670EC" w:rsidRPr="00680D98" w:rsidRDefault="001670EC" w:rsidP="003D783E">
            <w:pPr>
              <w:jc w:val="both"/>
              <w:rPr>
                <w:b/>
              </w:rPr>
            </w:pPr>
            <w:r w:rsidRPr="00680D98">
              <w:rPr>
                <w:b/>
              </w:rPr>
              <w:t>Community Safety</w:t>
            </w:r>
          </w:p>
        </w:tc>
        <w:tc>
          <w:tcPr>
            <w:tcW w:w="2394" w:type="dxa"/>
          </w:tcPr>
          <w:p w:rsidR="001670EC" w:rsidRPr="00680D98" w:rsidRDefault="001670EC" w:rsidP="003D783E">
            <w:pPr>
              <w:jc w:val="center"/>
            </w:pPr>
            <w:r w:rsidRPr="00680D98">
              <w:t>35</w:t>
            </w:r>
          </w:p>
        </w:tc>
        <w:tc>
          <w:tcPr>
            <w:tcW w:w="2394" w:type="dxa"/>
          </w:tcPr>
          <w:p w:rsidR="001670EC" w:rsidRPr="00680D98" w:rsidRDefault="001670EC" w:rsidP="003D783E">
            <w:pPr>
              <w:jc w:val="center"/>
            </w:pPr>
            <w:r w:rsidRPr="00680D98">
              <w:t>8</w:t>
            </w:r>
          </w:p>
        </w:tc>
      </w:tr>
      <w:tr w:rsidR="001670EC" w:rsidRPr="00680D98" w:rsidTr="00C00F37">
        <w:trPr>
          <w:jc w:val="center"/>
        </w:trPr>
        <w:tc>
          <w:tcPr>
            <w:tcW w:w="2394" w:type="dxa"/>
          </w:tcPr>
          <w:p w:rsidR="001670EC" w:rsidRPr="00680D98" w:rsidRDefault="001670EC" w:rsidP="003D783E">
            <w:pPr>
              <w:jc w:val="both"/>
              <w:rPr>
                <w:b/>
              </w:rPr>
            </w:pPr>
            <w:r w:rsidRPr="00680D98">
              <w:rPr>
                <w:b/>
              </w:rPr>
              <w:t>Environmental Quality</w:t>
            </w:r>
          </w:p>
        </w:tc>
        <w:tc>
          <w:tcPr>
            <w:tcW w:w="2394" w:type="dxa"/>
          </w:tcPr>
          <w:p w:rsidR="001670EC" w:rsidRPr="00680D98" w:rsidRDefault="001670EC" w:rsidP="003D783E">
            <w:pPr>
              <w:jc w:val="center"/>
            </w:pPr>
            <w:r w:rsidRPr="00680D98">
              <w:t>4</w:t>
            </w:r>
          </w:p>
        </w:tc>
        <w:tc>
          <w:tcPr>
            <w:tcW w:w="2394" w:type="dxa"/>
          </w:tcPr>
          <w:p w:rsidR="001670EC" w:rsidRPr="00680D98" w:rsidRDefault="001670EC" w:rsidP="003D783E">
            <w:pPr>
              <w:jc w:val="center"/>
            </w:pPr>
            <w:r w:rsidRPr="00680D98">
              <w:t>3</w:t>
            </w:r>
          </w:p>
        </w:tc>
      </w:tr>
      <w:tr w:rsidR="001670EC" w:rsidRPr="00680D98" w:rsidTr="00C00F37">
        <w:trPr>
          <w:jc w:val="center"/>
        </w:trPr>
        <w:tc>
          <w:tcPr>
            <w:tcW w:w="2394" w:type="dxa"/>
          </w:tcPr>
          <w:p w:rsidR="001670EC" w:rsidRPr="00680D98" w:rsidRDefault="001670EC" w:rsidP="003D783E">
            <w:pPr>
              <w:jc w:val="both"/>
              <w:rPr>
                <w:b/>
              </w:rPr>
            </w:pPr>
            <w:r w:rsidRPr="00680D98">
              <w:rPr>
                <w:b/>
              </w:rPr>
              <w:t>Built Environment</w:t>
            </w:r>
          </w:p>
        </w:tc>
        <w:tc>
          <w:tcPr>
            <w:tcW w:w="2394" w:type="dxa"/>
          </w:tcPr>
          <w:p w:rsidR="001670EC" w:rsidRPr="00680D98" w:rsidRDefault="001670EC" w:rsidP="003D783E">
            <w:pPr>
              <w:jc w:val="center"/>
            </w:pPr>
            <w:r w:rsidRPr="00680D98">
              <w:t>21</w:t>
            </w:r>
          </w:p>
        </w:tc>
        <w:tc>
          <w:tcPr>
            <w:tcW w:w="2394" w:type="dxa"/>
          </w:tcPr>
          <w:p w:rsidR="001670EC" w:rsidRPr="00680D98" w:rsidRDefault="001670EC" w:rsidP="003D783E">
            <w:pPr>
              <w:jc w:val="center"/>
            </w:pPr>
            <w:r w:rsidRPr="00680D98">
              <w:t>4</w:t>
            </w:r>
          </w:p>
        </w:tc>
      </w:tr>
    </w:tbl>
    <w:p w:rsidR="001670EC" w:rsidRDefault="001670EC" w:rsidP="00B83029">
      <w:pPr>
        <w:pStyle w:val="Heading2"/>
        <w:rPr>
          <w:rFonts w:ascii="Calibri" w:hAnsi="Calibri"/>
          <w:bCs w:val="0"/>
          <w:color w:val="auto"/>
          <w:sz w:val="22"/>
          <w:szCs w:val="22"/>
        </w:rPr>
      </w:pPr>
    </w:p>
    <w:p w:rsidR="001670EC" w:rsidRDefault="001670EC" w:rsidP="00473EE4"/>
    <w:p w:rsidR="001670EC" w:rsidRDefault="001670EC" w:rsidP="00473EE4"/>
    <w:p w:rsidR="001670EC" w:rsidRDefault="001670EC" w:rsidP="00473EE4"/>
    <w:p w:rsidR="001670EC" w:rsidRDefault="001670EC" w:rsidP="00473EE4"/>
    <w:p w:rsidR="001670EC" w:rsidRDefault="001670EC" w:rsidP="00473EE4"/>
    <w:p w:rsidR="001670EC" w:rsidRPr="00473EE4" w:rsidRDefault="001670EC" w:rsidP="00473EE4"/>
    <w:p w:rsidR="001670EC" w:rsidRPr="0008325A" w:rsidRDefault="001670EC" w:rsidP="0008325A"/>
    <w:p w:rsidR="001670EC" w:rsidRDefault="001670EC" w:rsidP="00B83029">
      <w:pPr>
        <w:pStyle w:val="Heading2"/>
      </w:pPr>
      <w:r>
        <w:t>T</w:t>
      </w:r>
      <w:r w:rsidRPr="009550B9">
        <w:t xml:space="preserve">able </w:t>
      </w:r>
      <w:r>
        <w:t xml:space="preserve">2B: Montgomery County Comparison of Factors/Focus Areas to State and Regional Rankings </w:t>
      </w:r>
    </w:p>
    <w:p w:rsidR="001670EC" w:rsidRPr="00B83029" w:rsidRDefault="001670EC" w:rsidP="00B830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tblGrid>
      <w:tr w:rsidR="001670EC" w:rsidRPr="00680D98" w:rsidTr="0013240B">
        <w:trPr>
          <w:jc w:val="center"/>
        </w:trPr>
        <w:tc>
          <w:tcPr>
            <w:tcW w:w="2394" w:type="dxa"/>
          </w:tcPr>
          <w:p w:rsidR="001670EC" w:rsidRPr="00680D98" w:rsidRDefault="001670EC" w:rsidP="0013240B">
            <w:pPr>
              <w:jc w:val="both"/>
              <w:rPr>
                <w:b/>
                <w:u w:val="single"/>
              </w:rPr>
            </w:pPr>
            <w:r w:rsidRPr="00680D98">
              <w:rPr>
                <w:b/>
                <w:u w:val="single"/>
              </w:rPr>
              <w:t>Factor/Focus Area</w:t>
            </w:r>
          </w:p>
        </w:tc>
        <w:tc>
          <w:tcPr>
            <w:tcW w:w="2394" w:type="dxa"/>
          </w:tcPr>
          <w:p w:rsidR="001670EC" w:rsidRPr="00680D98" w:rsidRDefault="001670EC" w:rsidP="0013240B">
            <w:pPr>
              <w:jc w:val="center"/>
              <w:rPr>
                <w:b/>
                <w:u w:val="single"/>
              </w:rPr>
            </w:pPr>
            <w:r w:rsidRPr="00680D98">
              <w:rPr>
                <w:b/>
                <w:u w:val="single"/>
              </w:rPr>
              <w:t>State-Wide Rank</w:t>
            </w:r>
          </w:p>
        </w:tc>
        <w:tc>
          <w:tcPr>
            <w:tcW w:w="2394" w:type="dxa"/>
          </w:tcPr>
          <w:p w:rsidR="001670EC" w:rsidRPr="00680D98" w:rsidRDefault="001670EC" w:rsidP="0013240B">
            <w:pPr>
              <w:jc w:val="center"/>
              <w:rPr>
                <w:b/>
                <w:u w:val="single"/>
              </w:rPr>
            </w:pPr>
            <w:r w:rsidRPr="00680D98">
              <w:rPr>
                <w:b/>
                <w:u w:val="single"/>
              </w:rPr>
              <w:t>Greater Regional Rank</w:t>
            </w:r>
          </w:p>
        </w:tc>
      </w:tr>
      <w:tr w:rsidR="001670EC" w:rsidRPr="00680D98" w:rsidTr="0013240B">
        <w:trPr>
          <w:jc w:val="center"/>
        </w:trPr>
        <w:tc>
          <w:tcPr>
            <w:tcW w:w="2394" w:type="dxa"/>
          </w:tcPr>
          <w:p w:rsidR="001670EC" w:rsidRPr="00680D98" w:rsidRDefault="001670EC" w:rsidP="0013240B">
            <w:pPr>
              <w:jc w:val="both"/>
              <w:rPr>
                <w:b/>
              </w:rPr>
            </w:pPr>
            <w:r w:rsidRPr="00680D98">
              <w:rPr>
                <w:b/>
              </w:rPr>
              <w:t>Tobacco Use</w:t>
            </w:r>
          </w:p>
        </w:tc>
        <w:tc>
          <w:tcPr>
            <w:tcW w:w="2394" w:type="dxa"/>
          </w:tcPr>
          <w:p w:rsidR="001670EC" w:rsidRPr="00680D98" w:rsidRDefault="001670EC" w:rsidP="0013240B">
            <w:pPr>
              <w:jc w:val="center"/>
            </w:pPr>
            <w:r w:rsidRPr="00680D98">
              <w:t>61</w:t>
            </w:r>
          </w:p>
        </w:tc>
        <w:tc>
          <w:tcPr>
            <w:tcW w:w="2394" w:type="dxa"/>
          </w:tcPr>
          <w:p w:rsidR="001670EC" w:rsidRPr="00680D98" w:rsidRDefault="001670EC" w:rsidP="0013240B">
            <w:pPr>
              <w:jc w:val="center"/>
            </w:pPr>
            <w:r w:rsidRPr="00680D98">
              <w:t>12</w:t>
            </w:r>
          </w:p>
        </w:tc>
      </w:tr>
      <w:tr w:rsidR="001670EC" w:rsidRPr="00680D98" w:rsidTr="0013240B">
        <w:trPr>
          <w:jc w:val="center"/>
        </w:trPr>
        <w:tc>
          <w:tcPr>
            <w:tcW w:w="2394" w:type="dxa"/>
          </w:tcPr>
          <w:p w:rsidR="001670EC" w:rsidRPr="00680D98" w:rsidRDefault="001670EC" w:rsidP="0013240B">
            <w:pPr>
              <w:jc w:val="both"/>
              <w:rPr>
                <w:b/>
              </w:rPr>
            </w:pPr>
            <w:r w:rsidRPr="00680D98">
              <w:rPr>
                <w:b/>
              </w:rPr>
              <w:t>Diet and Exercise</w:t>
            </w:r>
          </w:p>
        </w:tc>
        <w:tc>
          <w:tcPr>
            <w:tcW w:w="2394" w:type="dxa"/>
          </w:tcPr>
          <w:p w:rsidR="001670EC" w:rsidRPr="00680D98" w:rsidRDefault="001670EC" w:rsidP="0013240B">
            <w:pPr>
              <w:jc w:val="center"/>
            </w:pPr>
            <w:r w:rsidRPr="00680D98">
              <w:t>57</w:t>
            </w:r>
          </w:p>
        </w:tc>
        <w:tc>
          <w:tcPr>
            <w:tcW w:w="2394" w:type="dxa"/>
          </w:tcPr>
          <w:p w:rsidR="001670EC" w:rsidRPr="00680D98" w:rsidRDefault="001670EC" w:rsidP="0013240B">
            <w:pPr>
              <w:jc w:val="center"/>
            </w:pPr>
            <w:r w:rsidRPr="00680D98">
              <w:t>12</w:t>
            </w:r>
          </w:p>
        </w:tc>
      </w:tr>
      <w:tr w:rsidR="001670EC" w:rsidRPr="00680D98" w:rsidTr="0013240B">
        <w:trPr>
          <w:jc w:val="center"/>
        </w:trPr>
        <w:tc>
          <w:tcPr>
            <w:tcW w:w="2394" w:type="dxa"/>
          </w:tcPr>
          <w:p w:rsidR="001670EC" w:rsidRPr="00680D98" w:rsidRDefault="001670EC" w:rsidP="0013240B">
            <w:pPr>
              <w:jc w:val="both"/>
              <w:rPr>
                <w:b/>
              </w:rPr>
            </w:pPr>
            <w:r w:rsidRPr="00680D98">
              <w:rPr>
                <w:b/>
              </w:rPr>
              <w:t>Alcohol Use</w:t>
            </w:r>
          </w:p>
        </w:tc>
        <w:tc>
          <w:tcPr>
            <w:tcW w:w="2394" w:type="dxa"/>
          </w:tcPr>
          <w:p w:rsidR="001670EC" w:rsidRPr="00680D98" w:rsidRDefault="001670EC" w:rsidP="0013240B">
            <w:pPr>
              <w:jc w:val="center"/>
            </w:pPr>
            <w:r w:rsidRPr="00680D98">
              <w:t>30</w:t>
            </w:r>
          </w:p>
        </w:tc>
        <w:tc>
          <w:tcPr>
            <w:tcW w:w="2394" w:type="dxa"/>
          </w:tcPr>
          <w:p w:rsidR="001670EC" w:rsidRPr="00680D98" w:rsidRDefault="001670EC" w:rsidP="0013240B">
            <w:pPr>
              <w:jc w:val="center"/>
            </w:pPr>
            <w:r w:rsidRPr="00680D98">
              <w:t>10</w:t>
            </w:r>
          </w:p>
        </w:tc>
      </w:tr>
      <w:tr w:rsidR="001670EC" w:rsidRPr="00680D98" w:rsidTr="0013240B">
        <w:trPr>
          <w:jc w:val="center"/>
        </w:trPr>
        <w:tc>
          <w:tcPr>
            <w:tcW w:w="2394" w:type="dxa"/>
          </w:tcPr>
          <w:p w:rsidR="001670EC" w:rsidRPr="00680D98" w:rsidRDefault="001670EC" w:rsidP="0013240B">
            <w:pPr>
              <w:jc w:val="both"/>
              <w:rPr>
                <w:b/>
              </w:rPr>
            </w:pPr>
            <w:r w:rsidRPr="00680D98">
              <w:rPr>
                <w:b/>
              </w:rPr>
              <w:t>Sexual Activity</w:t>
            </w:r>
          </w:p>
        </w:tc>
        <w:tc>
          <w:tcPr>
            <w:tcW w:w="2394" w:type="dxa"/>
          </w:tcPr>
          <w:p w:rsidR="001670EC" w:rsidRPr="00680D98" w:rsidRDefault="001670EC" w:rsidP="0013240B">
            <w:pPr>
              <w:jc w:val="center"/>
            </w:pPr>
            <w:r w:rsidRPr="00680D98">
              <w:t>55</w:t>
            </w:r>
          </w:p>
        </w:tc>
        <w:tc>
          <w:tcPr>
            <w:tcW w:w="2394" w:type="dxa"/>
          </w:tcPr>
          <w:p w:rsidR="001670EC" w:rsidRPr="00680D98" w:rsidRDefault="001670EC" w:rsidP="0013240B">
            <w:pPr>
              <w:jc w:val="center"/>
            </w:pPr>
            <w:r w:rsidRPr="00680D98">
              <w:t>12</w:t>
            </w:r>
          </w:p>
        </w:tc>
      </w:tr>
      <w:tr w:rsidR="001670EC" w:rsidRPr="00680D98" w:rsidTr="0013240B">
        <w:trPr>
          <w:jc w:val="center"/>
        </w:trPr>
        <w:tc>
          <w:tcPr>
            <w:tcW w:w="2394" w:type="dxa"/>
          </w:tcPr>
          <w:p w:rsidR="001670EC" w:rsidRPr="00680D98" w:rsidRDefault="001670EC" w:rsidP="0013240B">
            <w:pPr>
              <w:jc w:val="both"/>
              <w:rPr>
                <w:b/>
              </w:rPr>
            </w:pPr>
            <w:r w:rsidRPr="00680D98">
              <w:rPr>
                <w:b/>
              </w:rPr>
              <w:t>Access to Care</w:t>
            </w:r>
          </w:p>
        </w:tc>
        <w:tc>
          <w:tcPr>
            <w:tcW w:w="2394" w:type="dxa"/>
          </w:tcPr>
          <w:p w:rsidR="001670EC" w:rsidRPr="00680D98" w:rsidRDefault="001670EC" w:rsidP="0013240B">
            <w:pPr>
              <w:jc w:val="center"/>
            </w:pPr>
            <w:r w:rsidRPr="00680D98">
              <w:t>30</w:t>
            </w:r>
          </w:p>
        </w:tc>
        <w:tc>
          <w:tcPr>
            <w:tcW w:w="2394" w:type="dxa"/>
          </w:tcPr>
          <w:p w:rsidR="001670EC" w:rsidRPr="00680D98" w:rsidRDefault="001670EC" w:rsidP="0013240B">
            <w:pPr>
              <w:jc w:val="center"/>
            </w:pPr>
            <w:r w:rsidRPr="00680D98">
              <w:t>7</w:t>
            </w:r>
          </w:p>
        </w:tc>
      </w:tr>
      <w:tr w:rsidR="001670EC" w:rsidRPr="00680D98" w:rsidTr="0013240B">
        <w:trPr>
          <w:jc w:val="center"/>
        </w:trPr>
        <w:tc>
          <w:tcPr>
            <w:tcW w:w="2394" w:type="dxa"/>
          </w:tcPr>
          <w:p w:rsidR="001670EC" w:rsidRPr="00680D98" w:rsidRDefault="001670EC" w:rsidP="0013240B">
            <w:pPr>
              <w:jc w:val="both"/>
              <w:rPr>
                <w:b/>
              </w:rPr>
            </w:pPr>
            <w:r w:rsidRPr="00680D98">
              <w:rPr>
                <w:b/>
              </w:rPr>
              <w:t>Quality of Care</w:t>
            </w:r>
          </w:p>
        </w:tc>
        <w:tc>
          <w:tcPr>
            <w:tcW w:w="2394" w:type="dxa"/>
          </w:tcPr>
          <w:p w:rsidR="001670EC" w:rsidRPr="00680D98" w:rsidRDefault="001670EC" w:rsidP="0013240B">
            <w:pPr>
              <w:jc w:val="center"/>
            </w:pPr>
            <w:r w:rsidRPr="00680D98">
              <w:t>43</w:t>
            </w:r>
          </w:p>
        </w:tc>
        <w:tc>
          <w:tcPr>
            <w:tcW w:w="2394" w:type="dxa"/>
          </w:tcPr>
          <w:p w:rsidR="001670EC" w:rsidRPr="00680D98" w:rsidRDefault="001670EC" w:rsidP="0013240B">
            <w:pPr>
              <w:jc w:val="center"/>
            </w:pPr>
            <w:r w:rsidRPr="00680D98">
              <w:t>9</w:t>
            </w:r>
          </w:p>
        </w:tc>
      </w:tr>
      <w:tr w:rsidR="001670EC" w:rsidRPr="00680D98" w:rsidTr="0013240B">
        <w:trPr>
          <w:jc w:val="center"/>
        </w:trPr>
        <w:tc>
          <w:tcPr>
            <w:tcW w:w="2394" w:type="dxa"/>
          </w:tcPr>
          <w:p w:rsidR="001670EC" w:rsidRPr="00680D98" w:rsidRDefault="001670EC" w:rsidP="0013240B">
            <w:pPr>
              <w:jc w:val="both"/>
              <w:rPr>
                <w:b/>
              </w:rPr>
            </w:pPr>
            <w:r w:rsidRPr="00680D98">
              <w:rPr>
                <w:b/>
              </w:rPr>
              <w:t>Education</w:t>
            </w:r>
          </w:p>
        </w:tc>
        <w:tc>
          <w:tcPr>
            <w:tcW w:w="2394" w:type="dxa"/>
          </w:tcPr>
          <w:p w:rsidR="001670EC" w:rsidRPr="00680D98" w:rsidRDefault="001670EC" w:rsidP="0013240B">
            <w:pPr>
              <w:jc w:val="center"/>
            </w:pPr>
            <w:r w:rsidRPr="00680D98">
              <w:t>59</w:t>
            </w:r>
          </w:p>
        </w:tc>
        <w:tc>
          <w:tcPr>
            <w:tcW w:w="2394" w:type="dxa"/>
          </w:tcPr>
          <w:p w:rsidR="001670EC" w:rsidRPr="00680D98" w:rsidRDefault="001670EC" w:rsidP="0013240B">
            <w:pPr>
              <w:jc w:val="center"/>
            </w:pPr>
            <w:r w:rsidRPr="00680D98">
              <w:t>11</w:t>
            </w:r>
          </w:p>
        </w:tc>
      </w:tr>
      <w:tr w:rsidR="001670EC" w:rsidRPr="00680D98" w:rsidTr="0013240B">
        <w:trPr>
          <w:jc w:val="center"/>
        </w:trPr>
        <w:tc>
          <w:tcPr>
            <w:tcW w:w="2394" w:type="dxa"/>
          </w:tcPr>
          <w:p w:rsidR="001670EC" w:rsidRPr="00680D98" w:rsidRDefault="001670EC" w:rsidP="0013240B">
            <w:pPr>
              <w:jc w:val="both"/>
              <w:rPr>
                <w:b/>
              </w:rPr>
            </w:pPr>
            <w:r w:rsidRPr="00680D98">
              <w:rPr>
                <w:b/>
              </w:rPr>
              <w:t>Employment</w:t>
            </w:r>
          </w:p>
        </w:tc>
        <w:tc>
          <w:tcPr>
            <w:tcW w:w="2394" w:type="dxa"/>
          </w:tcPr>
          <w:p w:rsidR="001670EC" w:rsidRPr="00680D98" w:rsidRDefault="001670EC" w:rsidP="0013240B">
            <w:pPr>
              <w:jc w:val="center"/>
            </w:pPr>
            <w:r w:rsidRPr="00680D98">
              <w:t>57</w:t>
            </w:r>
          </w:p>
        </w:tc>
        <w:tc>
          <w:tcPr>
            <w:tcW w:w="2394" w:type="dxa"/>
          </w:tcPr>
          <w:p w:rsidR="001670EC" w:rsidRPr="00680D98" w:rsidRDefault="001670EC" w:rsidP="0013240B">
            <w:pPr>
              <w:jc w:val="center"/>
            </w:pPr>
            <w:r w:rsidRPr="00680D98">
              <w:t>10</w:t>
            </w:r>
          </w:p>
        </w:tc>
      </w:tr>
      <w:tr w:rsidR="001670EC" w:rsidRPr="00680D98" w:rsidTr="0013240B">
        <w:trPr>
          <w:jc w:val="center"/>
        </w:trPr>
        <w:tc>
          <w:tcPr>
            <w:tcW w:w="2394" w:type="dxa"/>
          </w:tcPr>
          <w:p w:rsidR="001670EC" w:rsidRPr="00680D98" w:rsidRDefault="001670EC" w:rsidP="0013240B">
            <w:pPr>
              <w:jc w:val="both"/>
              <w:rPr>
                <w:b/>
              </w:rPr>
            </w:pPr>
            <w:r w:rsidRPr="00680D98">
              <w:rPr>
                <w:b/>
              </w:rPr>
              <w:t>Income</w:t>
            </w:r>
          </w:p>
        </w:tc>
        <w:tc>
          <w:tcPr>
            <w:tcW w:w="2394" w:type="dxa"/>
          </w:tcPr>
          <w:p w:rsidR="001670EC" w:rsidRPr="00680D98" w:rsidRDefault="001670EC" w:rsidP="0013240B">
            <w:pPr>
              <w:jc w:val="center"/>
            </w:pPr>
            <w:r w:rsidRPr="00680D98">
              <w:t>58</w:t>
            </w:r>
          </w:p>
        </w:tc>
        <w:tc>
          <w:tcPr>
            <w:tcW w:w="2394" w:type="dxa"/>
          </w:tcPr>
          <w:p w:rsidR="001670EC" w:rsidRPr="00680D98" w:rsidRDefault="001670EC" w:rsidP="0013240B">
            <w:pPr>
              <w:jc w:val="center"/>
            </w:pPr>
            <w:r w:rsidRPr="00680D98">
              <w:t>11</w:t>
            </w:r>
          </w:p>
        </w:tc>
      </w:tr>
      <w:tr w:rsidR="001670EC" w:rsidRPr="00680D98" w:rsidTr="0013240B">
        <w:trPr>
          <w:jc w:val="center"/>
        </w:trPr>
        <w:tc>
          <w:tcPr>
            <w:tcW w:w="2394" w:type="dxa"/>
          </w:tcPr>
          <w:p w:rsidR="001670EC" w:rsidRPr="00680D98" w:rsidRDefault="001670EC" w:rsidP="0013240B">
            <w:pPr>
              <w:jc w:val="both"/>
              <w:rPr>
                <w:b/>
              </w:rPr>
            </w:pPr>
            <w:r w:rsidRPr="00680D98">
              <w:rPr>
                <w:b/>
              </w:rPr>
              <w:t>Family &amp; Social Support</w:t>
            </w:r>
          </w:p>
        </w:tc>
        <w:tc>
          <w:tcPr>
            <w:tcW w:w="2394" w:type="dxa"/>
          </w:tcPr>
          <w:p w:rsidR="001670EC" w:rsidRPr="00680D98" w:rsidRDefault="001670EC" w:rsidP="0013240B">
            <w:pPr>
              <w:jc w:val="center"/>
            </w:pPr>
            <w:r w:rsidRPr="00680D98">
              <w:t>57</w:t>
            </w:r>
          </w:p>
        </w:tc>
        <w:tc>
          <w:tcPr>
            <w:tcW w:w="2394" w:type="dxa"/>
          </w:tcPr>
          <w:p w:rsidR="001670EC" w:rsidRPr="00680D98" w:rsidRDefault="001670EC" w:rsidP="0013240B">
            <w:pPr>
              <w:jc w:val="center"/>
            </w:pPr>
            <w:r w:rsidRPr="00680D98">
              <w:t>11</w:t>
            </w:r>
          </w:p>
        </w:tc>
      </w:tr>
      <w:tr w:rsidR="001670EC" w:rsidRPr="00680D98" w:rsidTr="0013240B">
        <w:trPr>
          <w:jc w:val="center"/>
        </w:trPr>
        <w:tc>
          <w:tcPr>
            <w:tcW w:w="2394" w:type="dxa"/>
          </w:tcPr>
          <w:p w:rsidR="001670EC" w:rsidRPr="00680D98" w:rsidRDefault="001670EC" w:rsidP="0013240B">
            <w:pPr>
              <w:jc w:val="both"/>
              <w:rPr>
                <w:b/>
              </w:rPr>
            </w:pPr>
            <w:r w:rsidRPr="00680D98">
              <w:rPr>
                <w:b/>
              </w:rPr>
              <w:t>Community Safety</w:t>
            </w:r>
          </w:p>
        </w:tc>
        <w:tc>
          <w:tcPr>
            <w:tcW w:w="2394" w:type="dxa"/>
          </w:tcPr>
          <w:p w:rsidR="001670EC" w:rsidRPr="00680D98" w:rsidRDefault="001670EC" w:rsidP="0013240B">
            <w:pPr>
              <w:jc w:val="center"/>
            </w:pPr>
            <w:r w:rsidRPr="00680D98">
              <w:t>41</w:t>
            </w:r>
          </w:p>
        </w:tc>
        <w:tc>
          <w:tcPr>
            <w:tcW w:w="2394" w:type="dxa"/>
          </w:tcPr>
          <w:p w:rsidR="001670EC" w:rsidRPr="00680D98" w:rsidRDefault="001670EC" w:rsidP="0013240B">
            <w:pPr>
              <w:jc w:val="center"/>
            </w:pPr>
            <w:r w:rsidRPr="00680D98">
              <w:t>9</w:t>
            </w:r>
          </w:p>
        </w:tc>
      </w:tr>
      <w:tr w:rsidR="001670EC" w:rsidRPr="00680D98" w:rsidTr="0013240B">
        <w:trPr>
          <w:jc w:val="center"/>
        </w:trPr>
        <w:tc>
          <w:tcPr>
            <w:tcW w:w="2394" w:type="dxa"/>
          </w:tcPr>
          <w:p w:rsidR="001670EC" w:rsidRPr="00680D98" w:rsidRDefault="001670EC" w:rsidP="0013240B">
            <w:pPr>
              <w:jc w:val="both"/>
              <w:rPr>
                <w:b/>
              </w:rPr>
            </w:pPr>
            <w:r w:rsidRPr="00680D98">
              <w:rPr>
                <w:b/>
              </w:rPr>
              <w:t>Environmental Quality</w:t>
            </w:r>
          </w:p>
        </w:tc>
        <w:tc>
          <w:tcPr>
            <w:tcW w:w="2394" w:type="dxa"/>
          </w:tcPr>
          <w:p w:rsidR="001670EC" w:rsidRPr="00680D98" w:rsidRDefault="001670EC" w:rsidP="0013240B">
            <w:pPr>
              <w:jc w:val="center"/>
            </w:pPr>
            <w:r w:rsidRPr="00680D98">
              <w:t>12</w:t>
            </w:r>
          </w:p>
        </w:tc>
        <w:tc>
          <w:tcPr>
            <w:tcW w:w="2394" w:type="dxa"/>
          </w:tcPr>
          <w:p w:rsidR="001670EC" w:rsidRPr="00680D98" w:rsidRDefault="001670EC" w:rsidP="0013240B">
            <w:pPr>
              <w:jc w:val="center"/>
            </w:pPr>
            <w:r w:rsidRPr="00680D98">
              <w:t>6</w:t>
            </w:r>
          </w:p>
        </w:tc>
      </w:tr>
      <w:tr w:rsidR="001670EC" w:rsidRPr="00680D98" w:rsidTr="0013240B">
        <w:trPr>
          <w:jc w:val="center"/>
        </w:trPr>
        <w:tc>
          <w:tcPr>
            <w:tcW w:w="2394" w:type="dxa"/>
          </w:tcPr>
          <w:p w:rsidR="001670EC" w:rsidRPr="00680D98" w:rsidRDefault="001670EC" w:rsidP="0013240B">
            <w:pPr>
              <w:jc w:val="both"/>
              <w:rPr>
                <w:b/>
              </w:rPr>
            </w:pPr>
            <w:r w:rsidRPr="00680D98">
              <w:rPr>
                <w:b/>
              </w:rPr>
              <w:t>Built Environment</w:t>
            </w:r>
          </w:p>
        </w:tc>
        <w:tc>
          <w:tcPr>
            <w:tcW w:w="2394" w:type="dxa"/>
          </w:tcPr>
          <w:p w:rsidR="001670EC" w:rsidRPr="00680D98" w:rsidRDefault="001670EC" w:rsidP="0013240B">
            <w:pPr>
              <w:jc w:val="center"/>
            </w:pPr>
            <w:r w:rsidRPr="00680D98">
              <w:t>62</w:t>
            </w:r>
          </w:p>
        </w:tc>
        <w:tc>
          <w:tcPr>
            <w:tcW w:w="2394" w:type="dxa"/>
          </w:tcPr>
          <w:p w:rsidR="001670EC" w:rsidRPr="00680D98" w:rsidRDefault="001670EC" w:rsidP="0013240B">
            <w:pPr>
              <w:jc w:val="center"/>
            </w:pPr>
            <w:r w:rsidRPr="00680D98">
              <w:t>12</w:t>
            </w:r>
          </w:p>
        </w:tc>
      </w:tr>
    </w:tbl>
    <w:p w:rsidR="001670EC" w:rsidRDefault="001670EC">
      <w:r>
        <w:br w:type="page"/>
      </w:r>
    </w:p>
    <w:p w:rsidR="001670EC" w:rsidRDefault="001670EC" w:rsidP="00054522">
      <w:pPr>
        <w:pStyle w:val="Heading2"/>
      </w:pPr>
      <w:bookmarkStart w:id="36" w:name="_Toc355250980"/>
      <w:r w:rsidRPr="009550B9">
        <w:t xml:space="preserve">Table </w:t>
      </w:r>
      <w:r>
        <w:t>3A: Leading Causes of Death in Fulton County</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6"/>
        <w:gridCol w:w="1596"/>
        <w:gridCol w:w="1596"/>
        <w:gridCol w:w="1596"/>
        <w:gridCol w:w="1596"/>
        <w:gridCol w:w="1596"/>
      </w:tblGrid>
      <w:tr w:rsidR="001670EC" w:rsidRPr="00680D98" w:rsidTr="00B04376">
        <w:tc>
          <w:tcPr>
            <w:tcW w:w="1596" w:type="dxa"/>
          </w:tcPr>
          <w:p w:rsidR="001670EC" w:rsidRPr="00680D98" w:rsidRDefault="001670EC" w:rsidP="00665298"/>
        </w:tc>
        <w:tc>
          <w:tcPr>
            <w:tcW w:w="1596" w:type="dxa"/>
          </w:tcPr>
          <w:p w:rsidR="001670EC" w:rsidRPr="00680D98" w:rsidRDefault="001670EC" w:rsidP="00665298">
            <w:pPr>
              <w:jc w:val="center"/>
            </w:pPr>
            <w:r w:rsidRPr="00680D98">
              <w:t>1st</w:t>
            </w:r>
          </w:p>
        </w:tc>
        <w:tc>
          <w:tcPr>
            <w:tcW w:w="1596" w:type="dxa"/>
          </w:tcPr>
          <w:p w:rsidR="001670EC" w:rsidRPr="00680D98" w:rsidRDefault="001670EC" w:rsidP="00665298">
            <w:pPr>
              <w:jc w:val="center"/>
            </w:pPr>
            <w:r w:rsidRPr="00680D98">
              <w:t>2nd</w:t>
            </w:r>
          </w:p>
        </w:tc>
        <w:tc>
          <w:tcPr>
            <w:tcW w:w="1596" w:type="dxa"/>
          </w:tcPr>
          <w:p w:rsidR="001670EC" w:rsidRPr="00680D98" w:rsidRDefault="001670EC" w:rsidP="00665298">
            <w:pPr>
              <w:jc w:val="center"/>
            </w:pPr>
            <w:r w:rsidRPr="00680D98">
              <w:t>3rd</w:t>
            </w:r>
          </w:p>
        </w:tc>
        <w:tc>
          <w:tcPr>
            <w:tcW w:w="1596" w:type="dxa"/>
          </w:tcPr>
          <w:p w:rsidR="001670EC" w:rsidRPr="00680D98" w:rsidRDefault="001670EC" w:rsidP="00665298">
            <w:pPr>
              <w:jc w:val="center"/>
            </w:pPr>
            <w:r w:rsidRPr="00680D98">
              <w:t>4th</w:t>
            </w:r>
          </w:p>
        </w:tc>
        <w:tc>
          <w:tcPr>
            <w:tcW w:w="1596" w:type="dxa"/>
          </w:tcPr>
          <w:p w:rsidR="001670EC" w:rsidRPr="00680D98" w:rsidRDefault="001670EC" w:rsidP="00665298">
            <w:pPr>
              <w:jc w:val="center"/>
            </w:pPr>
            <w:r w:rsidRPr="00680D98">
              <w:t>5th</w:t>
            </w:r>
          </w:p>
        </w:tc>
      </w:tr>
      <w:tr w:rsidR="001670EC" w:rsidRPr="00680D98" w:rsidTr="00B04376">
        <w:tc>
          <w:tcPr>
            <w:tcW w:w="1596" w:type="dxa"/>
            <w:vAlign w:val="center"/>
          </w:tcPr>
          <w:p w:rsidR="001670EC" w:rsidRPr="00680D98" w:rsidRDefault="001670EC" w:rsidP="008C6A44">
            <w:r w:rsidRPr="00680D98">
              <w:t>Causes of Death</w:t>
            </w:r>
          </w:p>
        </w:tc>
        <w:tc>
          <w:tcPr>
            <w:tcW w:w="1596" w:type="dxa"/>
            <w:vAlign w:val="center"/>
          </w:tcPr>
          <w:p w:rsidR="001670EC" w:rsidRPr="00680D98" w:rsidRDefault="001670EC" w:rsidP="00665298">
            <w:pPr>
              <w:jc w:val="center"/>
            </w:pPr>
            <w:r w:rsidRPr="00680D98">
              <w:t>Heart Disease</w:t>
            </w:r>
          </w:p>
        </w:tc>
        <w:tc>
          <w:tcPr>
            <w:tcW w:w="1596" w:type="dxa"/>
            <w:vAlign w:val="center"/>
          </w:tcPr>
          <w:p w:rsidR="001670EC" w:rsidRPr="00680D98" w:rsidRDefault="001670EC" w:rsidP="00665298">
            <w:pPr>
              <w:jc w:val="center"/>
            </w:pPr>
            <w:r w:rsidRPr="00680D98">
              <w:t>Cancer</w:t>
            </w:r>
          </w:p>
        </w:tc>
        <w:tc>
          <w:tcPr>
            <w:tcW w:w="1596" w:type="dxa"/>
            <w:vAlign w:val="center"/>
          </w:tcPr>
          <w:p w:rsidR="001670EC" w:rsidRPr="00680D98" w:rsidRDefault="001670EC" w:rsidP="00665298">
            <w:pPr>
              <w:jc w:val="center"/>
            </w:pPr>
            <w:r w:rsidRPr="00680D98">
              <w:t>CLRD</w:t>
            </w:r>
          </w:p>
          <w:p w:rsidR="001670EC" w:rsidRPr="00680D98" w:rsidRDefault="001670EC" w:rsidP="00665298">
            <w:pPr>
              <w:jc w:val="center"/>
            </w:pPr>
            <w:r w:rsidRPr="00680D98">
              <w:t>(Chronic Lower Respiratory Disease)</w:t>
            </w:r>
          </w:p>
        </w:tc>
        <w:tc>
          <w:tcPr>
            <w:tcW w:w="1596" w:type="dxa"/>
            <w:vAlign w:val="center"/>
          </w:tcPr>
          <w:p w:rsidR="001670EC" w:rsidRPr="00680D98" w:rsidRDefault="001670EC" w:rsidP="00665298">
            <w:pPr>
              <w:jc w:val="center"/>
            </w:pPr>
            <w:r w:rsidRPr="00680D98">
              <w:t>Stroke</w:t>
            </w:r>
          </w:p>
        </w:tc>
        <w:tc>
          <w:tcPr>
            <w:tcW w:w="1596" w:type="dxa"/>
            <w:vAlign w:val="center"/>
          </w:tcPr>
          <w:p w:rsidR="001670EC" w:rsidRPr="00680D98" w:rsidRDefault="001670EC" w:rsidP="00665298">
            <w:pPr>
              <w:jc w:val="center"/>
            </w:pPr>
            <w:r w:rsidRPr="00680D98">
              <w:t>Unintentional Injury</w:t>
            </w:r>
          </w:p>
        </w:tc>
      </w:tr>
      <w:tr w:rsidR="001670EC" w:rsidRPr="00680D98" w:rsidTr="00B04376">
        <w:tc>
          <w:tcPr>
            <w:tcW w:w="1596" w:type="dxa"/>
            <w:vAlign w:val="center"/>
          </w:tcPr>
          <w:p w:rsidR="001670EC" w:rsidRPr="00680D98" w:rsidRDefault="001670EC" w:rsidP="008C6A44">
            <w:r w:rsidRPr="00680D98">
              <w:t>Causes of Premature Death</w:t>
            </w:r>
          </w:p>
        </w:tc>
        <w:tc>
          <w:tcPr>
            <w:tcW w:w="1596" w:type="dxa"/>
            <w:vAlign w:val="center"/>
          </w:tcPr>
          <w:p w:rsidR="001670EC" w:rsidRPr="00680D98" w:rsidRDefault="001670EC" w:rsidP="00665298">
            <w:pPr>
              <w:jc w:val="center"/>
            </w:pPr>
            <w:r w:rsidRPr="00680D98">
              <w:t>Cancer</w:t>
            </w:r>
          </w:p>
        </w:tc>
        <w:tc>
          <w:tcPr>
            <w:tcW w:w="1596" w:type="dxa"/>
            <w:vAlign w:val="center"/>
          </w:tcPr>
          <w:p w:rsidR="001670EC" w:rsidRPr="00680D98" w:rsidRDefault="001670EC" w:rsidP="00665298">
            <w:pPr>
              <w:jc w:val="center"/>
            </w:pPr>
            <w:r w:rsidRPr="00680D98">
              <w:t>Heart Disease</w:t>
            </w:r>
          </w:p>
        </w:tc>
        <w:tc>
          <w:tcPr>
            <w:tcW w:w="1596" w:type="dxa"/>
            <w:vAlign w:val="center"/>
          </w:tcPr>
          <w:p w:rsidR="001670EC" w:rsidRPr="00680D98" w:rsidRDefault="001670EC" w:rsidP="008C6A44">
            <w:pPr>
              <w:jc w:val="center"/>
            </w:pPr>
            <w:r w:rsidRPr="00680D98">
              <w:t>CLRD</w:t>
            </w:r>
          </w:p>
          <w:p w:rsidR="001670EC" w:rsidRPr="00680D98" w:rsidRDefault="001670EC" w:rsidP="008C6A44">
            <w:pPr>
              <w:jc w:val="center"/>
            </w:pPr>
            <w:r w:rsidRPr="00680D98">
              <w:t>(Chronic Lower Respiratory Disease)</w:t>
            </w:r>
          </w:p>
        </w:tc>
        <w:tc>
          <w:tcPr>
            <w:tcW w:w="1596" w:type="dxa"/>
            <w:vAlign w:val="center"/>
          </w:tcPr>
          <w:p w:rsidR="001670EC" w:rsidRPr="00680D98" w:rsidRDefault="001670EC" w:rsidP="00665298">
            <w:pPr>
              <w:jc w:val="center"/>
            </w:pPr>
            <w:r w:rsidRPr="00680D98">
              <w:t>Unintentional Injury</w:t>
            </w:r>
          </w:p>
        </w:tc>
        <w:tc>
          <w:tcPr>
            <w:tcW w:w="1596" w:type="dxa"/>
            <w:vAlign w:val="center"/>
          </w:tcPr>
          <w:p w:rsidR="001670EC" w:rsidRPr="00680D98" w:rsidRDefault="001670EC" w:rsidP="00665298">
            <w:pPr>
              <w:jc w:val="center"/>
            </w:pPr>
            <w:r w:rsidRPr="00680D98">
              <w:t>Septicemia</w:t>
            </w:r>
          </w:p>
        </w:tc>
      </w:tr>
    </w:tbl>
    <w:p w:rsidR="001670EC" w:rsidRPr="00B172E7" w:rsidRDefault="001670EC" w:rsidP="00665298">
      <w:pPr>
        <w:rPr>
          <w:sz w:val="14"/>
          <w:szCs w:val="14"/>
        </w:rPr>
      </w:pPr>
      <w:r w:rsidRPr="00B172E7">
        <w:rPr>
          <w:sz w:val="14"/>
          <w:szCs w:val="14"/>
        </w:rPr>
        <w:t>Source:   New York State Web Site. 2010 Data</w:t>
      </w:r>
    </w:p>
    <w:p w:rsidR="001670EC" w:rsidRPr="00B172E7" w:rsidRDefault="001670EC" w:rsidP="00665298">
      <w:pPr>
        <w:rPr>
          <w:sz w:val="14"/>
          <w:szCs w:val="14"/>
        </w:rPr>
      </w:pPr>
      <w:r w:rsidRPr="00B172E7">
        <w:rPr>
          <w:sz w:val="14"/>
          <w:szCs w:val="14"/>
        </w:rPr>
        <w:t xml:space="preserve">Note: Premature Death is defined as death before age 75. </w:t>
      </w:r>
    </w:p>
    <w:p w:rsidR="001670EC" w:rsidRDefault="001670EC" w:rsidP="00665298"/>
    <w:p w:rsidR="001670EC" w:rsidRDefault="001670EC" w:rsidP="00A56025">
      <w:pPr>
        <w:pStyle w:val="Heading2"/>
      </w:pPr>
      <w:r w:rsidRPr="009550B9">
        <w:t xml:space="preserve">Table </w:t>
      </w:r>
      <w:r>
        <w:t>3B: Leading Causes of Death in Montgomery County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3"/>
        <w:gridCol w:w="1575"/>
        <w:gridCol w:w="1576"/>
        <w:gridCol w:w="1586"/>
        <w:gridCol w:w="1592"/>
        <w:gridCol w:w="1664"/>
      </w:tblGrid>
      <w:tr w:rsidR="001670EC" w:rsidRPr="00680D98" w:rsidTr="0013240B">
        <w:tc>
          <w:tcPr>
            <w:tcW w:w="1596" w:type="dxa"/>
          </w:tcPr>
          <w:p w:rsidR="001670EC" w:rsidRPr="00680D98" w:rsidRDefault="001670EC" w:rsidP="0013240B"/>
        </w:tc>
        <w:tc>
          <w:tcPr>
            <w:tcW w:w="1596" w:type="dxa"/>
          </w:tcPr>
          <w:p w:rsidR="001670EC" w:rsidRPr="00680D98" w:rsidRDefault="001670EC" w:rsidP="0013240B">
            <w:pPr>
              <w:jc w:val="center"/>
            </w:pPr>
            <w:r w:rsidRPr="00680D98">
              <w:t>1st</w:t>
            </w:r>
          </w:p>
        </w:tc>
        <w:tc>
          <w:tcPr>
            <w:tcW w:w="1596" w:type="dxa"/>
          </w:tcPr>
          <w:p w:rsidR="001670EC" w:rsidRPr="00680D98" w:rsidRDefault="001670EC" w:rsidP="0013240B">
            <w:pPr>
              <w:jc w:val="center"/>
            </w:pPr>
            <w:r w:rsidRPr="00680D98">
              <w:t>2nd</w:t>
            </w:r>
          </w:p>
        </w:tc>
        <w:tc>
          <w:tcPr>
            <w:tcW w:w="1596" w:type="dxa"/>
          </w:tcPr>
          <w:p w:rsidR="001670EC" w:rsidRPr="00680D98" w:rsidRDefault="001670EC" w:rsidP="0013240B">
            <w:pPr>
              <w:jc w:val="center"/>
            </w:pPr>
            <w:r w:rsidRPr="00680D98">
              <w:t>3rd</w:t>
            </w:r>
          </w:p>
        </w:tc>
        <w:tc>
          <w:tcPr>
            <w:tcW w:w="1596" w:type="dxa"/>
          </w:tcPr>
          <w:p w:rsidR="001670EC" w:rsidRPr="00680D98" w:rsidRDefault="001670EC" w:rsidP="0013240B">
            <w:pPr>
              <w:jc w:val="center"/>
            </w:pPr>
            <w:r w:rsidRPr="00680D98">
              <w:t>4th</w:t>
            </w:r>
          </w:p>
        </w:tc>
        <w:tc>
          <w:tcPr>
            <w:tcW w:w="1596" w:type="dxa"/>
          </w:tcPr>
          <w:p w:rsidR="001670EC" w:rsidRPr="00680D98" w:rsidRDefault="001670EC" w:rsidP="0013240B">
            <w:pPr>
              <w:jc w:val="center"/>
            </w:pPr>
            <w:r w:rsidRPr="00680D98">
              <w:t>5th</w:t>
            </w:r>
          </w:p>
        </w:tc>
      </w:tr>
      <w:tr w:rsidR="001670EC" w:rsidRPr="00680D98" w:rsidTr="0013240B">
        <w:tc>
          <w:tcPr>
            <w:tcW w:w="1596" w:type="dxa"/>
            <w:vAlign w:val="center"/>
          </w:tcPr>
          <w:p w:rsidR="001670EC" w:rsidRPr="00680D98" w:rsidRDefault="001670EC" w:rsidP="0013240B">
            <w:r w:rsidRPr="00680D98">
              <w:t>Causes of Death</w:t>
            </w:r>
          </w:p>
        </w:tc>
        <w:tc>
          <w:tcPr>
            <w:tcW w:w="1596" w:type="dxa"/>
            <w:vAlign w:val="center"/>
          </w:tcPr>
          <w:p w:rsidR="001670EC" w:rsidRPr="00680D98" w:rsidRDefault="001670EC" w:rsidP="0013240B">
            <w:pPr>
              <w:jc w:val="center"/>
            </w:pPr>
            <w:r w:rsidRPr="00680D98">
              <w:t>Heart Disease</w:t>
            </w:r>
          </w:p>
        </w:tc>
        <w:tc>
          <w:tcPr>
            <w:tcW w:w="1596" w:type="dxa"/>
            <w:vAlign w:val="center"/>
          </w:tcPr>
          <w:p w:rsidR="001670EC" w:rsidRPr="00680D98" w:rsidRDefault="001670EC" w:rsidP="0013240B">
            <w:pPr>
              <w:jc w:val="center"/>
            </w:pPr>
            <w:r w:rsidRPr="00680D98">
              <w:t>Cancer</w:t>
            </w:r>
          </w:p>
        </w:tc>
        <w:tc>
          <w:tcPr>
            <w:tcW w:w="1596" w:type="dxa"/>
            <w:vAlign w:val="center"/>
          </w:tcPr>
          <w:p w:rsidR="001670EC" w:rsidRPr="00680D98" w:rsidRDefault="001670EC" w:rsidP="0013240B">
            <w:pPr>
              <w:jc w:val="center"/>
            </w:pPr>
            <w:r w:rsidRPr="00680D98">
              <w:t>Stroke</w:t>
            </w:r>
          </w:p>
        </w:tc>
        <w:tc>
          <w:tcPr>
            <w:tcW w:w="1596" w:type="dxa"/>
            <w:vAlign w:val="center"/>
          </w:tcPr>
          <w:p w:rsidR="001670EC" w:rsidRPr="00680D98" w:rsidRDefault="001670EC" w:rsidP="0013240B">
            <w:pPr>
              <w:jc w:val="center"/>
            </w:pPr>
            <w:r w:rsidRPr="00680D98">
              <w:t>CLRD</w:t>
            </w:r>
          </w:p>
          <w:p w:rsidR="001670EC" w:rsidRPr="00680D98" w:rsidRDefault="001670EC" w:rsidP="0013240B">
            <w:pPr>
              <w:jc w:val="center"/>
            </w:pPr>
            <w:r w:rsidRPr="00680D98">
              <w:t>(Chronic Lower Respiratory Disease)</w:t>
            </w:r>
          </w:p>
        </w:tc>
        <w:tc>
          <w:tcPr>
            <w:tcW w:w="1596" w:type="dxa"/>
            <w:vAlign w:val="center"/>
          </w:tcPr>
          <w:p w:rsidR="001670EC" w:rsidRPr="00680D98" w:rsidRDefault="001670EC" w:rsidP="0013240B">
            <w:pPr>
              <w:jc w:val="center"/>
            </w:pPr>
            <w:r w:rsidRPr="00680D98">
              <w:t>Kidney disease</w:t>
            </w:r>
          </w:p>
        </w:tc>
      </w:tr>
      <w:tr w:rsidR="001670EC" w:rsidRPr="00680D98" w:rsidTr="0013240B">
        <w:tc>
          <w:tcPr>
            <w:tcW w:w="1596" w:type="dxa"/>
            <w:vAlign w:val="center"/>
          </w:tcPr>
          <w:p w:rsidR="001670EC" w:rsidRPr="00680D98" w:rsidRDefault="001670EC" w:rsidP="0013240B">
            <w:r w:rsidRPr="00680D98">
              <w:t>Causes of Premature Death</w:t>
            </w:r>
          </w:p>
        </w:tc>
        <w:tc>
          <w:tcPr>
            <w:tcW w:w="1596" w:type="dxa"/>
            <w:vAlign w:val="center"/>
          </w:tcPr>
          <w:p w:rsidR="001670EC" w:rsidRPr="00680D98" w:rsidRDefault="001670EC" w:rsidP="0013240B">
            <w:pPr>
              <w:jc w:val="center"/>
            </w:pPr>
            <w:r w:rsidRPr="00680D98">
              <w:t>Cancer</w:t>
            </w:r>
          </w:p>
        </w:tc>
        <w:tc>
          <w:tcPr>
            <w:tcW w:w="1596" w:type="dxa"/>
            <w:vAlign w:val="center"/>
          </w:tcPr>
          <w:p w:rsidR="001670EC" w:rsidRPr="00680D98" w:rsidRDefault="001670EC" w:rsidP="0013240B">
            <w:pPr>
              <w:jc w:val="center"/>
            </w:pPr>
            <w:r w:rsidRPr="00680D98">
              <w:t>Heart Disease</w:t>
            </w:r>
          </w:p>
        </w:tc>
        <w:tc>
          <w:tcPr>
            <w:tcW w:w="1596" w:type="dxa"/>
            <w:vAlign w:val="center"/>
          </w:tcPr>
          <w:p w:rsidR="001670EC" w:rsidRPr="00680D98" w:rsidRDefault="001670EC" w:rsidP="00A56025">
            <w:pPr>
              <w:jc w:val="center"/>
            </w:pPr>
            <w:r w:rsidRPr="00680D98">
              <w:t>CLRD</w:t>
            </w:r>
          </w:p>
          <w:p w:rsidR="001670EC" w:rsidRPr="00680D98" w:rsidRDefault="001670EC" w:rsidP="00A56025">
            <w:pPr>
              <w:jc w:val="center"/>
            </w:pPr>
            <w:r w:rsidRPr="00680D98">
              <w:t>(Chronic Lower Respiratory Disease)</w:t>
            </w:r>
          </w:p>
        </w:tc>
        <w:tc>
          <w:tcPr>
            <w:tcW w:w="1596" w:type="dxa"/>
            <w:vAlign w:val="center"/>
          </w:tcPr>
          <w:p w:rsidR="001670EC" w:rsidRPr="00680D98" w:rsidRDefault="001670EC" w:rsidP="0013240B">
            <w:pPr>
              <w:jc w:val="center"/>
            </w:pPr>
            <w:r w:rsidRPr="00680D98">
              <w:t>Unintentional Injury</w:t>
            </w:r>
          </w:p>
        </w:tc>
        <w:tc>
          <w:tcPr>
            <w:tcW w:w="1596" w:type="dxa"/>
            <w:vAlign w:val="center"/>
          </w:tcPr>
          <w:p w:rsidR="001670EC" w:rsidRPr="00680D98" w:rsidRDefault="001670EC" w:rsidP="0013240B">
            <w:pPr>
              <w:jc w:val="center"/>
            </w:pPr>
            <w:r w:rsidRPr="00680D98">
              <w:t>Diabetes/Stroke</w:t>
            </w:r>
          </w:p>
        </w:tc>
      </w:tr>
    </w:tbl>
    <w:p w:rsidR="001670EC" w:rsidRPr="00B172E7" w:rsidRDefault="001670EC">
      <w:pPr>
        <w:rPr>
          <w:sz w:val="14"/>
          <w:szCs w:val="14"/>
        </w:rPr>
      </w:pPr>
      <w:r w:rsidRPr="00B172E7">
        <w:rPr>
          <w:sz w:val="14"/>
          <w:szCs w:val="14"/>
        </w:rPr>
        <w:t>Source:   New York State Web Site. 2010 Data</w:t>
      </w:r>
    </w:p>
    <w:p w:rsidR="001670EC" w:rsidRDefault="001670EC"/>
    <w:p w:rsidR="001670EC" w:rsidRPr="00595900" w:rsidRDefault="001670EC">
      <w:pPr>
        <w:rPr>
          <w:b/>
          <w:color w:val="C00000"/>
          <w:sz w:val="24"/>
          <w:szCs w:val="24"/>
        </w:rPr>
      </w:pPr>
      <w:r w:rsidRPr="00595900">
        <w:rPr>
          <w:b/>
          <w:color w:val="C00000"/>
          <w:sz w:val="24"/>
          <w:szCs w:val="24"/>
        </w:rPr>
        <w:br w:type="page"/>
      </w:r>
    </w:p>
    <w:p w:rsidR="001670EC" w:rsidRDefault="001670EC" w:rsidP="00054522">
      <w:pPr>
        <w:pStyle w:val="Heading2"/>
      </w:pPr>
      <w:bookmarkStart w:id="37" w:name="_Toc355250981"/>
      <w:r w:rsidRPr="009550B9">
        <w:t xml:space="preserve">Table </w:t>
      </w:r>
      <w:r>
        <w:t>4: Leading Causes of Premature Death for Counties in the Greater Region</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2"/>
        <w:gridCol w:w="834"/>
        <w:gridCol w:w="1075"/>
        <w:gridCol w:w="2043"/>
        <w:gridCol w:w="2043"/>
        <w:gridCol w:w="2189"/>
      </w:tblGrid>
      <w:tr w:rsidR="001670EC" w:rsidRPr="00680D98" w:rsidTr="00BA300B">
        <w:trPr>
          <w:trHeight w:val="259"/>
        </w:trPr>
        <w:tc>
          <w:tcPr>
            <w:tcW w:w="0" w:type="auto"/>
          </w:tcPr>
          <w:p w:rsidR="001670EC" w:rsidRPr="00680D98" w:rsidRDefault="001670EC" w:rsidP="00665298">
            <w:r w:rsidRPr="00680D98">
              <w:t>County</w:t>
            </w:r>
          </w:p>
        </w:tc>
        <w:tc>
          <w:tcPr>
            <w:tcW w:w="0" w:type="auto"/>
          </w:tcPr>
          <w:p w:rsidR="001670EC" w:rsidRPr="00680D98" w:rsidRDefault="001670EC" w:rsidP="008C6A44">
            <w:pPr>
              <w:jc w:val="center"/>
            </w:pPr>
            <w:r w:rsidRPr="00680D98">
              <w:t>1st</w:t>
            </w:r>
          </w:p>
        </w:tc>
        <w:tc>
          <w:tcPr>
            <w:tcW w:w="0" w:type="auto"/>
          </w:tcPr>
          <w:p w:rsidR="001670EC" w:rsidRPr="00680D98" w:rsidRDefault="001670EC" w:rsidP="008C6A44">
            <w:pPr>
              <w:jc w:val="center"/>
            </w:pPr>
            <w:r w:rsidRPr="00680D98">
              <w:t>2nd</w:t>
            </w:r>
          </w:p>
        </w:tc>
        <w:tc>
          <w:tcPr>
            <w:tcW w:w="0" w:type="auto"/>
          </w:tcPr>
          <w:p w:rsidR="001670EC" w:rsidRPr="00680D98" w:rsidRDefault="001670EC" w:rsidP="008C6A44">
            <w:pPr>
              <w:jc w:val="center"/>
            </w:pPr>
            <w:r w:rsidRPr="00680D98">
              <w:t>3rd</w:t>
            </w:r>
          </w:p>
        </w:tc>
        <w:tc>
          <w:tcPr>
            <w:tcW w:w="0" w:type="auto"/>
          </w:tcPr>
          <w:p w:rsidR="001670EC" w:rsidRPr="00680D98" w:rsidRDefault="001670EC" w:rsidP="008C6A44">
            <w:pPr>
              <w:jc w:val="center"/>
            </w:pPr>
            <w:r w:rsidRPr="00680D98">
              <w:t>4th</w:t>
            </w:r>
          </w:p>
        </w:tc>
        <w:tc>
          <w:tcPr>
            <w:tcW w:w="0" w:type="auto"/>
          </w:tcPr>
          <w:p w:rsidR="001670EC" w:rsidRPr="00680D98" w:rsidRDefault="001670EC" w:rsidP="008C6A44">
            <w:pPr>
              <w:jc w:val="center"/>
            </w:pPr>
            <w:r w:rsidRPr="00680D98">
              <w:t>5th</w:t>
            </w:r>
          </w:p>
        </w:tc>
      </w:tr>
      <w:tr w:rsidR="001670EC" w:rsidRPr="00680D98" w:rsidTr="00BA300B">
        <w:trPr>
          <w:trHeight w:val="564"/>
        </w:trPr>
        <w:tc>
          <w:tcPr>
            <w:tcW w:w="0" w:type="auto"/>
            <w:vAlign w:val="center"/>
          </w:tcPr>
          <w:p w:rsidR="001670EC" w:rsidRPr="00680D98" w:rsidRDefault="001670EC" w:rsidP="008C6A44">
            <w:r w:rsidRPr="00680D98">
              <w:t>Albany</w:t>
            </w:r>
          </w:p>
        </w:tc>
        <w:tc>
          <w:tcPr>
            <w:tcW w:w="0" w:type="auto"/>
            <w:vAlign w:val="center"/>
          </w:tcPr>
          <w:p w:rsidR="001670EC" w:rsidRPr="00680D98" w:rsidRDefault="001670EC" w:rsidP="008C6A44">
            <w:pPr>
              <w:jc w:val="center"/>
            </w:pPr>
            <w:r w:rsidRPr="00680D98">
              <w:t>Cancer</w:t>
            </w:r>
          </w:p>
        </w:tc>
        <w:tc>
          <w:tcPr>
            <w:tcW w:w="0" w:type="auto"/>
            <w:vAlign w:val="center"/>
          </w:tcPr>
          <w:p w:rsidR="001670EC" w:rsidRPr="00680D98" w:rsidRDefault="001670EC" w:rsidP="008C6A44">
            <w:pPr>
              <w:jc w:val="center"/>
            </w:pPr>
            <w:r w:rsidRPr="00680D98">
              <w:t>Heart Disease</w:t>
            </w:r>
          </w:p>
        </w:tc>
        <w:tc>
          <w:tcPr>
            <w:tcW w:w="0" w:type="auto"/>
            <w:vAlign w:val="center"/>
          </w:tcPr>
          <w:p w:rsidR="001670EC" w:rsidRPr="00680D98" w:rsidRDefault="001670EC" w:rsidP="008C6A44">
            <w:pPr>
              <w:jc w:val="center"/>
            </w:pPr>
            <w:r w:rsidRPr="00680D98">
              <w:t>Unintentional Injury</w:t>
            </w:r>
          </w:p>
        </w:tc>
        <w:tc>
          <w:tcPr>
            <w:tcW w:w="0" w:type="auto"/>
            <w:vAlign w:val="center"/>
          </w:tcPr>
          <w:p w:rsidR="001670EC" w:rsidRPr="00680D98" w:rsidRDefault="001670EC" w:rsidP="008C6A44">
            <w:pPr>
              <w:jc w:val="center"/>
            </w:pPr>
            <w:r w:rsidRPr="00680D98">
              <w:t>Chronic Lower Respiratory Disease</w:t>
            </w:r>
          </w:p>
        </w:tc>
        <w:tc>
          <w:tcPr>
            <w:tcW w:w="0" w:type="auto"/>
            <w:vAlign w:val="center"/>
          </w:tcPr>
          <w:p w:rsidR="001670EC" w:rsidRPr="00680D98" w:rsidRDefault="001670EC" w:rsidP="008C6A44">
            <w:pPr>
              <w:jc w:val="center"/>
            </w:pPr>
            <w:r w:rsidRPr="00680D98">
              <w:t>Stroke</w:t>
            </w:r>
          </w:p>
        </w:tc>
      </w:tr>
      <w:tr w:rsidR="001670EC" w:rsidRPr="00680D98" w:rsidTr="00BA300B">
        <w:trPr>
          <w:trHeight w:val="564"/>
        </w:trPr>
        <w:tc>
          <w:tcPr>
            <w:tcW w:w="0" w:type="auto"/>
            <w:vAlign w:val="center"/>
          </w:tcPr>
          <w:p w:rsidR="001670EC" w:rsidRPr="00680D98" w:rsidRDefault="001670EC" w:rsidP="008C6A44">
            <w:r w:rsidRPr="00680D98">
              <w:t>Clinton</w:t>
            </w:r>
          </w:p>
        </w:tc>
        <w:tc>
          <w:tcPr>
            <w:tcW w:w="0" w:type="auto"/>
            <w:vAlign w:val="center"/>
          </w:tcPr>
          <w:p w:rsidR="001670EC" w:rsidRPr="00680D98" w:rsidRDefault="001670EC" w:rsidP="008C6A44">
            <w:pPr>
              <w:jc w:val="center"/>
            </w:pPr>
            <w:r w:rsidRPr="00680D98">
              <w:t>Cancer</w:t>
            </w:r>
          </w:p>
        </w:tc>
        <w:tc>
          <w:tcPr>
            <w:tcW w:w="0" w:type="auto"/>
            <w:vAlign w:val="center"/>
          </w:tcPr>
          <w:p w:rsidR="001670EC" w:rsidRPr="00680D98" w:rsidRDefault="001670EC" w:rsidP="008C6A44">
            <w:pPr>
              <w:jc w:val="center"/>
            </w:pPr>
            <w:r w:rsidRPr="00680D98">
              <w:t>Heart Disease</w:t>
            </w:r>
          </w:p>
        </w:tc>
        <w:tc>
          <w:tcPr>
            <w:tcW w:w="0" w:type="auto"/>
            <w:vAlign w:val="center"/>
          </w:tcPr>
          <w:p w:rsidR="001670EC" w:rsidRPr="00680D98" w:rsidRDefault="001670EC" w:rsidP="008C6A44">
            <w:pPr>
              <w:jc w:val="center"/>
            </w:pPr>
            <w:r w:rsidRPr="00680D98">
              <w:t>Unintentional Injury</w:t>
            </w:r>
          </w:p>
        </w:tc>
        <w:tc>
          <w:tcPr>
            <w:tcW w:w="0" w:type="auto"/>
            <w:vAlign w:val="center"/>
          </w:tcPr>
          <w:p w:rsidR="001670EC" w:rsidRPr="00680D98" w:rsidRDefault="001670EC" w:rsidP="008C6A44">
            <w:pPr>
              <w:jc w:val="center"/>
            </w:pPr>
            <w:r w:rsidRPr="00680D98">
              <w:t>Chronic Lower Respiratory Disease</w:t>
            </w:r>
          </w:p>
        </w:tc>
        <w:tc>
          <w:tcPr>
            <w:tcW w:w="0" w:type="auto"/>
            <w:vAlign w:val="center"/>
          </w:tcPr>
          <w:p w:rsidR="001670EC" w:rsidRPr="00680D98" w:rsidRDefault="001670EC" w:rsidP="008C6A44">
            <w:pPr>
              <w:jc w:val="center"/>
            </w:pPr>
            <w:r w:rsidRPr="00680D98">
              <w:t>Suicide</w:t>
            </w:r>
          </w:p>
        </w:tc>
      </w:tr>
      <w:tr w:rsidR="001670EC" w:rsidRPr="00680D98" w:rsidTr="00BA300B">
        <w:trPr>
          <w:trHeight w:val="528"/>
        </w:trPr>
        <w:tc>
          <w:tcPr>
            <w:tcW w:w="0" w:type="auto"/>
            <w:vAlign w:val="center"/>
          </w:tcPr>
          <w:p w:rsidR="001670EC" w:rsidRPr="00680D98" w:rsidRDefault="001670EC" w:rsidP="008C6A44">
            <w:r w:rsidRPr="00680D98">
              <w:t>Essex</w:t>
            </w:r>
          </w:p>
        </w:tc>
        <w:tc>
          <w:tcPr>
            <w:tcW w:w="0" w:type="auto"/>
            <w:vAlign w:val="center"/>
          </w:tcPr>
          <w:p w:rsidR="001670EC" w:rsidRPr="00680D98" w:rsidRDefault="001670EC" w:rsidP="005B5B98">
            <w:pPr>
              <w:jc w:val="center"/>
            </w:pPr>
            <w:r w:rsidRPr="00680D98">
              <w:t>Cancer</w:t>
            </w:r>
          </w:p>
        </w:tc>
        <w:tc>
          <w:tcPr>
            <w:tcW w:w="0" w:type="auto"/>
            <w:vAlign w:val="center"/>
          </w:tcPr>
          <w:p w:rsidR="001670EC" w:rsidRPr="00680D98" w:rsidRDefault="001670EC" w:rsidP="005B5B98">
            <w:pPr>
              <w:jc w:val="center"/>
            </w:pPr>
            <w:r w:rsidRPr="00680D98">
              <w:t>Heart Disease</w:t>
            </w:r>
          </w:p>
        </w:tc>
        <w:tc>
          <w:tcPr>
            <w:tcW w:w="0" w:type="auto"/>
            <w:gridSpan w:val="2"/>
            <w:vAlign w:val="center"/>
          </w:tcPr>
          <w:p w:rsidR="001670EC" w:rsidRPr="00680D98" w:rsidRDefault="001670EC" w:rsidP="005B5B98">
            <w:pPr>
              <w:jc w:val="center"/>
            </w:pPr>
            <w:r w:rsidRPr="00680D98">
              <w:t>Unintentional Injury</w:t>
            </w:r>
          </w:p>
          <w:p w:rsidR="001670EC" w:rsidRPr="00680D98" w:rsidRDefault="001670EC" w:rsidP="005B5B98">
            <w:pPr>
              <w:jc w:val="center"/>
            </w:pPr>
            <w:r w:rsidRPr="00680D98">
              <w:t>Chronic Lower Respiratory Disease</w:t>
            </w:r>
          </w:p>
        </w:tc>
        <w:tc>
          <w:tcPr>
            <w:tcW w:w="0" w:type="auto"/>
            <w:vAlign w:val="center"/>
          </w:tcPr>
          <w:p w:rsidR="001670EC" w:rsidRPr="00680D98" w:rsidRDefault="001670EC" w:rsidP="005B5B98">
            <w:pPr>
              <w:jc w:val="center"/>
            </w:pPr>
            <w:r w:rsidRPr="00680D98">
              <w:t>Liver Disease</w:t>
            </w:r>
          </w:p>
        </w:tc>
      </w:tr>
      <w:tr w:rsidR="001670EC" w:rsidRPr="00680D98" w:rsidTr="00BA300B">
        <w:trPr>
          <w:trHeight w:val="556"/>
        </w:trPr>
        <w:tc>
          <w:tcPr>
            <w:tcW w:w="0" w:type="auto"/>
            <w:vAlign w:val="center"/>
          </w:tcPr>
          <w:p w:rsidR="001670EC" w:rsidRPr="00680D98" w:rsidRDefault="001670EC" w:rsidP="008C6A44">
            <w:r w:rsidRPr="00680D98">
              <w:t>Franklin</w:t>
            </w:r>
          </w:p>
        </w:tc>
        <w:tc>
          <w:tcPr>
            <w:tcW w:w="0" w:type="auto"/>
            <w:vAlign w:val="center"/>
          </w:tcPr>
          <w:p w:rsidR="001670EC" w:rsidRPr="00680D98" w:rsidRDefault="001670EC" w:rsidP="005B5B98">
            <w:pPr>
              <w:jc w:val="center"/>
            </w:pPr>
            <w:r w:rsidRPr="00680D98">
              <w:t>Cancer</w:t>
            </w:r>
          </w:p>
        </w:tc>
        <w:tc>
          <w:tcPr>
            <w:tcW w:w="0" w:type="auto"/>
            <w:vAlign w:val="center"/>
          </w:tcPr>
          <w:p w:rsidR="001670EC" w:rsidRPr="00680D98" w:rsidRDefault="001670EC" w:rsidP="005B5B98">
            <w:pPr>
              <w:jc w:val="center"/>
            </w:pPr>
            <w:r w:rsidRPr="00680D98">
              <w:t>Heart Disease</w:t>
            </w:r>
          </w:p>
        </w:tc>
        <w:tc>
          <w:tcPr>
            <w:tcW w:w="0" w:type="auto"/>
            <w:vAlign w:val="center"/>
          </w:tcPr>
          <w:p w:rsidR="001670EC" w:rsidRPr="00680D98" w:rsidRDefault="001670EC" w:rsidP="005B5B98">
            <w:pPr>
              <w:jc w:val="center"/>
            </w:pPr>
            <w:r w:rsidRPr="00680D98">
              <w:t>Unintentional Injury</w:t>
            </w:r>
          </w:p>
        </w:tc>
        <w:tc>
          <w:tcPr>
            <w:tcW w:w="0" w:type="auto"/>
            <w:vAlign w:val="center"/>
          </w:tcPr>
          <w:p w:rsidR="001670EC" w:rsidRPr="00680D98" w:rsidRDefault="001670EC" w:rsidP="005B5B98">
            <w:pPr>
              <w:jc w:val="center"/>
            </w:pPr>
            <w:r w:rsidRPr="00680D98">
              <w:t>Chronic Lower Respiratory Disease</w:t>
            </w:r>
          </w:p>
        </w:tc>
        <w:tc>
          <w:tcPr>
            <w:tcW w:w="0" w:type="auto"/>
            <w:vAlign w:val="center"/>
          </w:tcPr>
          <w:p w:rsidR="001670EC" w:rsidRPr="00680D98" w:rsidRDefault="001670EC" w:rsidP="005B5B98">
            <w:pPr>
              <w:jc w:val="center"/>
            </w:pPr>
            <w:r w:rsidRPr="00680D98">
              <w:t>Suicide</w:t>
            </w:r>
          </w:p>
        </w:tc>
      </w:tr>
      <w:tr w:rsidR="001670EC" w:rsidRPr="00680D98" w:rsidTr="00BA300B">
        <w:trPr>
          <w:trHeight w:val="144"/>
        </w:trPr>
        <w:tc>
          <w:tcPr>
            <w:tcW w:w="0" w:type="auto"/>
            <w:vAlign w:val="center"/>
          </w:tcPr>
          <w:p w:rsidR="001670EC" w:rsidRPr="00680D98" w:rsidRDefault="001670EC" w:rsidP="008C6A44">
            <w:r w:rsidRPr="00680D98">
              <w:t>Fulton</w:t>
            </w:r>
          </w:p>
        </w:tc>
        <w:tc>
          <w:tcPr>
            <w:tcW w:w="0" w:type="auto"/>
            <w:vAlign w:val="center"/>
          </w:tcPr>
          <w:p w:rsidR="001670EC" w:rsidRPr="00680D98" w:rsidRDefault="001670EC" w:rsidP="005B5B98">
            <w:pPr>
              <w:jc w:val="center"/>
            </w:pPr>
            <w:r w:rsidRPr="00680D98">
              <w:t>Cancer</w:t>
            </w:r>
          </w:p>
        </w:tc>
        <w:tc>
          <w:tcPr>
            <w:tcW w:w="0" w:type="auto"/>
            <w:vAlign w:val="center"/>
          </w:tcPr>
          <w:p w:rsidR="001670EC" w:rsidRPr="00680D98" w:rsidRDefault="001670EC" w:rsidP="005B5B98">
            <w:pPr>
              <w:jc w:val="center"/>
            </w:pPr>
            <w:r w:rsidRPr="00680D98">
              <w:t>Heart Disease</w:t>
            </w:r>
          </w:p>
        </w:tc>
        <w:tc>
          <w:tcPr>
            <w:tcW w:w="0" w:type="auto"/>
            <w:vAlign w:val="center"/>
          </w:tcPr>
          <w:p w:rsidR="001670EC" w:rsidRPr="00680D98" w:rsidRDefault="001670EC" w:rsidP="005B5B98">
            <w:pPr>
              <w:jc w:val="center"/>
            </w:pPr>
            <w:r w:rsidRPr="00680D98">
              <w:t>Chronic Lower Respiratory Disease</w:t>
            </w:r>
          </w:p>
        </w:tc>
        <w:tc>
          <w:tcPr>
            <w:tcW w:w="0" w:type="auto"/>
            <w:vAlign w:val="center"/>
          </w:tcPr>
          <w:p w:rsidR="001670EC" w:rsidRPr="00680D98" w:rsidRDefault="001670EC" w:rsidP="005B5B98">
            <w:pPr>
              <w:jc w:val="center"/>
            </w:pPr>
            <w:r w:rsidRPr="00680D98">
              <w:t>Unintentional Injury</w:t>
            </w:r>
          </w:p>
        </w:tc>
        <w:tc>
          <w:tcPr>
            <w:tcW w:w="0" w:type="auto"/>
            <w:vAlign w:val="center"/>
          </w:tcPr>
          <w:p w:rsidR="001670EC" w:rsidRPr="00680D98" w:rsidRDefault="001670EC" w:rsidP="005B5B98">
            <w:pPr>
              <w:jc w:val="center"/>
            </w:pPr>
            <w:r w:rsidRPr="00680D98">
              <w:t>Septicemia</w:t>
            </w:r>
          </w:p>
        </w:tc>
      </w:tr>
      <w:tr w:rsidR="001670EC" w:rsidRPr="00680D98" w:rsidTr="00BA300B">
        <w:trPr>
          <w:trHeight w:val="564"/>
        </w:trPr>
        <w:tc>
          <w:tcPr>
            <w:tcW w:w="0" w:type="auto"/>
            <w:vAlign w:val="center"/>
          </w:tcPr>
          <w:p w:rsidR="001670EC" w:rsidRPr="00680D98" w:rsidRDefault="001670EC" w:rsidP="008C6A44">
            <w:r w:rsidRPr="00680D98">
              <w:t>Hamilton</w:t>
            </w:r>
          </w:p>
        </w:tc>
        <w:tc>
          <w:tcPr>
            <w:tcW w:w="0" w:type="auto"/>
            <w:vAlign w:val="center"/>
          </w:tcPr>
          <w:p w:rsidR="001670EC" w:rsidRPr="00680D98" w:rsidRDefault="001670EC" w:rsidP="008C6A44">
            <w:pPr>
              <w:jc w:val="center"/>
            </w:pPr>
            <w:r w:rsidRPr="00680D98">
              <w:t>Cancer</w:t>
            </w:r>
          </w:p>
        </w:tc>
        <w:tc>
          <w:tcPr>
            <w:tcW w:w="0" w:type="auto"/>
            <w:vAlign w:val="center"/>
          </w:tcPr>
          <w:p w:rsidR="001670EC" w:rsidRPr="00680D98" w:rsidRDefault="001670EC" w:rsidP="008C6A44">
            <w:pPr>
              <w:jc w:val="center"/>
            </w:pPr>
            <w:r w:rsidRPr="00680D98">
              <w:t>Heart Disease</w:t>
            </w:r>
          </w:p>
        </w:tc>
        <w:tc>
          <w:tcPr>
            <w:tcW w:w="0" w:type="auto"/>
            <w:vAlign w:val="center"/>
          </w:tcPr>
          <w:p w:rsidR="001670EC" w:rsidRPr="00680D98" w:rsidRDefault="001670EC" w:rsidP="008C6A44">
            <w:pPr>
              <w:jc w:val="center"/>
            </w:pPr>
            <w:r w:rsidRPr="00680D98">
              <w:t>Unintentional Injury</w:t>
            </w:r>
          </w:p>
        </w:tc>
        <w:tc>
          <w:tcPr>
            <w:tcW w:w="0" w:type="auto"/>
            <w:vAlign w:val="center"/>
          </w:tcPr>
          <w:p w:rsidR="001670EC" w:rsidRPr="00680D98" w:rsidRDefault="001670EC" w:rsidP="008C6A44">
            <w:pPr>
              <w:jc w:val="center"/>
            </w:pPr>
            <w:r w:rsidRPr="00680D98">
              <w:t>Liver Disease</w:t>
            </w:r>
          </w:p>
        </w:tc>
        <w:tc>
          <w:tcPr>
            <w:tcW w:w="0" w:type="auto"/>
            <w:vAlign w:val="center"/>
          </w:tcPr>
          <w:p w:rsidR="001670EC" w:rsidRPr="00680D98" w:rsidRDefault="001670EC" w:rsidP="008C6A44">
            <w:pPr>
              <w:jc w:val="center"/>
            </w:pPr>
            <w:r w:rsidRPr="00680D98">
              <w:t>Chronic Lower Respiratory Disease</w:t>
            </w:r>
          </w:p>
        </w:tc>
      </w:tr>
      <w:tr w:rsidR="001670EC" w:rsidRPr="00680D98" w:rsidTr="00BA300B">
        <w:trPr>
          <w:trHeight w:val="564"/>
        </w:trPr>
        <w:tc>
          <w:tcPr>
            <w:tcW w:w="0" w:type="auto"/>
            <w:vAlign w:val="center"/>
          </w:tcPr>
          <w:p w:rsidR="001670EC" w:rsidRPr="00680D98" w:rsidRDefault="001670EC" w:rsidP="008C6A44">
            <w:r w:rsidRPr="00680D98">
              <w:t>Montgomery</w:t>
            </w:r>
          </w:p>
        </w:tc>
        <w:tc>
          <w:tcPr>
            <w:tcW w:w="0" w:type="auto"/>
            <w:vAlign w:val="center"/>
          </w:tcPr>
          <w:p w:rsidR="001670EC" w:rsidRPr="00680D98" w:rsidRDefault="001670EC" w:rsidP="008C6A44">
            <w:pPr>
              <w:jc w:val="center"/>
            </w:pPr>
            <w:r w:rsidRPr="00680D98">
              <w:t>Cancer</w:t>
            </w:r>
          </w:p>
        </w:tc>
        <w:tc>
          <w:tcPr>
            <w:tcW w:w="0" w:type="auto"/>
            <w:vAlign w:val="center"/>
          </w:tcPr>
          <w:p w:rsidR="001670EC" w:rsidRPr="00680D98" w:rsidRDefault="001670EC" w:rsidP="008C6A44">
            <w:pPr>
              <w:jc w:val="center"/>
            </w:pPr>
            <w:r w:rsidRPr="00680D98">
              <w:t>Heart Disease</w:t>
            </w:r>
          </w:p>
        </w:tc>
        <w:tc>
          <w:tcPr>
            <w:tcW w:w="0" w:type="auto"/>
            <w:vAlign w:val="center"/>
          </w:tcPr>
          <w:p w:rsidR="001670EC" w:rsidRPr="00680D98" w:rsidRDefault="001670EC" w:rsidP="008C6A44">
            <w:pPr>
              <w:jc w:val="center"/>
            </w:pPr>
            <w:r w:rsidRPr="00680D98">
              <w:t>Chronic Lower Respiratory Disease</w:t>
            </w:r>
          </w:p>
        </w:tc>
        <w:tc>
          <w:tcPr>
            <w:tcW w:w="0" w:type="auto"/>
            <w:vAlign w:val="center"/>
          </w:tcPr>
          <w:p w:rsidR="001670EC" w:rsidRPr="00680D98" w:rsidRDefault="001670EC" w:rsidP="008C6A44">
            <w:pPr>
              <w:jc w:val="center"/>
            </w:pPr>
            <w:r w:rsidRPr="00680D98">
              <w:t>Unintentional Injury</w:t>
            </w:r>
          </w:p>
        </w:tc>
        <w:tc>
          <w:tcPr>
            <w:tcW w:w="0" w:type="auto"/>
            <w:vAlign w:val="center"/>
          </w:tcPr>
          <w:p w:rsidR="001670EC" w:rsidRPr="00680D98" w:rsidRDefault="001670EC" w:rsidP="008C6A44">
            <w:pPr>
              <w:jc w:val="center"/>
            </w:pPr>
            <w:r w:rsidRPr="00680D98">
              <w:t>Diabetes/Stroke</w:t>
            </w:r>
          </w:p>
        </w:tc>
      </w:tr>
      <w:tr w:rsidR="001670EC" w:rsidRPr="00680D98" w:rsidTr="00BA300B">
        <w:trPr>
          <w:trHeight w:val="556"/>
        </w:trPr>
        <w:tc>
          <w:tcPr>
            <w:tcW w:w="0" w:type="auto"/>
            <w:vAlign w:val="center"/>
          </w:tcPr>
          <w:p w:rsidR="001670EC" w:rsidRPr="00680D98" w:rsidRDefault="001670EC" w:rsidP="008C6A44">
            <w:r w:rsidRPr="00680D98">
              <w:t>Rensselaer</w:t>
            </w:r>
          </w:p>
        </w:tc>
        <w:tc>
          <w:tcPr>
            <w:tcW w:w="0" w:type="auto"/>
            <w:vAlign w:val="center"/>
          </w:tcPr>
          <w:p w:rsidR="001670EC" w:rsidRPr="00680D98" w:rsidRDefault="001670EC" w:rsidP="000825DC">
            <w:pPr>
              <w:jc w:val="center"/>
            </w:pPr>
            <w:r w:rsidRPr="00680D98">
              <w:t>Cancer</w:t>
            </w:r>
          </w:p>
        </w:tc>
        <w:tc>
          <w:tcPr>
            <w:tcW w:w="0" w:type="auto"/>
            <w:vAlign w:val="center"/>
          </w:tcPr>
          <w:p w:rsidR="001670EC" w:rsidRPr="00680D98" w:rsidRDefault="001670EC" w:rsidP="000825DC">
            <w:pPr>
              <w:jc w:val="center"/>
            </w:pPr>
            <w:r w:rsidRPr="00680D98">
              <w:t>Heart Disease</w:t>
            </w:r>
          </w:p>
        </w:tc>
        <w:tc>
          <w:tcPr>
            <w:tcW w:w="0" w:type="auto"/>
            <w:vAlign w:val="center"/>
          </w:tcPr>
          <w:p w:rsidR="001670EC" w:rsidRPr="00680D98" w:rsidRDefault="001670EC" w:rsidP="000825DC">
            <w:pPr>
              <w:jc w:val="center"/>
            </w:pPr>
            <w:r w:rsidRPr="00680D98">
              <w:t>Chronic Lower Respiratory Disease</w:t>
            </w:r>
          </w:p>
        </w:tc>
        <w:tc>
          <w:tcPr>
            <w:tcW w:w="0" w:type="auto"/>
            <w:vAlign w:val="center"/>
          </w:tcPr>
          <w:p w:rsidR="001670EC" w:rsidRPr="00680D98" w:rsidRDefault="001670EC" w:rsidP="000825DC">
            <w:pPr>
              <w:jc w:val="center"/>
            </w:pPr>
            <w:r w:rsidRPr="00680D98">
              <w:t>Unintentional Injury</w:t>
            </w:r>
          </w:p>
        </w:tc>
        <w:tc>
          <w:tcPr>
            <w:tcW w:w="0" w:type="auto"/>
            <w:vAlign w:val="center"/>
          </w:tcPr>
          <w:p w:rsidR="001670EC" w:rsidRPr="00680D98" w:rsidRDefault="001670EC" w:rsidP="000825DC">
            <w:pPr>
              <w:jc w:val="center"/>
            </w:pPr>
            <w:r w:rsidRPr="00680D98">
              <w:t>Stroke</w:t>
            </w:r>
          </w:p>
        </w:tc>
      </w:tr>
      <w:tr w:rsidR="001670EC" w:rsidRPr="00680D98" w:rsidTr="00BA300B">
        <w:trPr>
          <w:trHeight w:val="556"/>
        </w:trPr>
        <w:tc>
          <w:tcPr>
            <w:tcW w:w="0" w:type="auto"/>
            <w:vAlign w:val="center"/>
          </w:tcPr>
          <w:p w:rsidR="001670EC" w:rsidRPr="00680D98" w:rsidRDefault="001670EC" w:rsidP="008C6A44">
            <w:r w:rsidRPr="00680D98">
              <w:t>Saratoga</w:t>
            </w:r>
          </w:p>
        </w:tc>
        <w:tc>
          <w:tcPr>
            <w:tcW w:w="0" w:type="auto"/>
            <w:vAlign w:val="center"/>
          </w:tcPr>
          <w:p w:rsidR="001670EC" w:rsidRPr="00680D98" w:rsidRDefault="001670EC" w:rsidP="000825DC">
            <w:pPr>
              <w:jc w:val="center"/>
            </w:pPr>
            <w:r w:rsidRPr="00680D98">
              <w:t>Cancer</w:t>
            </w:r>
          </w:p>
        </w:tc>
        <w:tc>
          <w:tcPr>
            <w:tcW w:w="0" w:type="auto"/>
            <w:vAlign w:val="center"/>
          </w:tcPr>
          <w:p w:rsidR="001670EC" w:rsidRPr="00680D98" w:rsidRDefault="001670EC" w:rsidP="000825DC">
            <w:pPr>
              <w:jc w:val="center"/>
            </w:pPr>
            <w:r w:rsidRPr="00680D98">
              <w:t>Heart Disease</w:t>
            </w:r>
          </w:p>
        </w:tc>
        <w:tc>
          <w:tcPr>
            <w:tcW w:w="0" w:type="auto"/>
            <w:vAlign w:val="center"/>
          </w:tcPr>
          <w:p w:rsidR="001670EC" w:rsidRPr="00680D98" w:rsidRDefault="001670EC" w:rsidP="000825DC">
            <w:pPr>
              <w:jc w:val="center"/>
            </w:pPr>
            <w:r w:rsidRPr="00680D98">
              <w:t>Chronic Lower Respiratory Disease</w:t>
            </w:r>
          </w:p>
        </w:tc>
        <w:tc>
          <w:tcPr>
            <w:tcW w:w="0" w:type="auto"/>
            <w:vAlign w:val="center"/>
          </w:tcPr>
          <w:p w:rsidR="001670EC" w:rsidRPr="00680D98" w:rsidRDefault="001670EC" w:rsidP="000825DC">
            <w:pPr>
              <w:jc w:val="center"/>
            </w:pPr>
            <w:r w:rsidRPr="00680D98">
              <w:t>Unintentional Injury</w:t>
            </w:r>
          </w:p>
        </w:tc>
        <w:tc>
          <w:tcPr>
            <w:tcW w:w="0" w:type="auto"/>
            <w:vAlign w:val="center"/>
          </w:tcPr>
          <w:p w:rsidR="001670EC" w:rsidRPr="00680D98" w:rsidRDefault="001670EC" w:rsidP="000825DC">
            <w:pPr>
              <w:jc w:val="center"/>
            </w:pPr>
            <w:r w:rsidRPr="00680D98">
              <w:t>Stroke</w:t>
            </w:r>
          </w:p>
        </w:tc>
      </w:tr>
      <w:tr w:rsidR="001670EC" w:rsidRPr="00680D98" w:rsidTr="00BA300B">
        <w:trPr>
          <w:trHeight w:val="556"/>
        </w:trPr>
        <w:tc>
          <w:tcPr>
            <w:tcW w:w="0" w:type="auto"/>
            <w:vAlign w:val="center"/>
          </w:tcPr>
          <w:p w:rsidR="001670EC" w:rsidRPr="00680D98" w:rsidRDefault="001670EC" w:rsidP="008C6A44">
            <w:r w:rsidRPr="00680D98">
              <w:t>Schenectady</w:t>
            </w:r>
          </w:p>
        </w:tc>
        <w:tc>
          <w:tcPr>
            <w:tcW w:w="0" w:type="auto"/>
            <w:vAlign w:val="center"/>
          </w:tcPr>
          <w:p w:rsidR="001670EC" w:rsidRPr="00680D98" w:rsidRDefault="001670EC" w:rsidP="005B5B98">
            <w:pPr>
              <w:jc w:val="center"/>
            </w:pPr>
            <w:r w:rsidRPr="00680D98">
              <w:t>Cancer</w:t>
            </w:r>
          </w:p>
        </w:tc>
        <w:tc>
          <w:tcPr>
            <w:tcW w:w="0" w:type="auto"/>
            <w:vAlign w:val="center"/>
          </w:tcPr>
          <w:p w:rsidR="001670EC" w:rsidRPr="00680D98" w:rsidRDefault="001670EC" w:rsidP="005B5B98">
            <w:pPr>
              <w:jc w:val="center"/>
            </w:pPr>
            <w:r w:rsidRPr="00680D98">
              <w:t>Heart Disease</w:t>
            </w:r>
          </w:p>
        </w:tc>
        <w:tc>
          <w:tcPr>
            <w:tcW w:w="0" w:type="auto"/>
            <w:vAlign w:val="center"/>
          </w:tcPr>
          <w:p w:rsidR="001670EC" w:rsidRPr="00680D98" w:rsidRDefault="001670EC" w:rsidP="005B5B98">
            <w:pPr>
              <w:jc w:val="center"/>
            </w:pPr>
            <w:r w:rsidRPr="00680D98">
              <w:t>Chronic Lower Respiratory Disease</w:t>
            </w:r>
          </w:p>
        </w:tc>
        <w:tc>
          <w:tcPr>
            <w:tcW w:w="0" w:type="auto"/>
            <w:vAlign w:val="center"/>
          </w:tcPr>
          <w:p w:rsidR="001670EC" w:rsidRPr="00680D98" w:rsidRDefault="001670EC" w:rsidP="005B5B98">
            <w:pPr>
              <w:jc w:val="center"/>
            </w:pPr>
            <w:r w:rsidRPr="00680D98">
              <w:t>Unintentional Injury</w:t>
            </w:r>
          </w:p>
        </w:tc>
        <w:tc>
          <w:tcPr>
            <w:tcW w:w="0" w:type="auto"/>
            <w:vAlign w:val="center"/>
          </w:tcPr>
          <w:p w:rsidR="001670EC" w:rsidRPr="00680D98" w:rsidRDefault="001670EC" w:rsidP="005B5B98">
            <w:pPr>
              <w:jc w:val="center"/>
            </w:pPr>
            <w:r w:rsidRPr="00680D98">
              <w:t>Diabetes</w:t>
            </w:r>
          </w:p>
        </w:tc>
      </w:tr>
      <w:tr w:rsidR="001670EC" w:rsidRPr="00680D98" w:rsidTr="00BA300B">
        <w:trPr>
          <w:trHeight w:val="556"/>
        </w:trPr>
        <w:tc>
          <w:tcPr>
            <w:tcW w:w="0" w:type="auto"/>
            <w:vAlign w:val="center"/>
          </w:tcPr>
          <w:p w:rsidR="001670EC" w:rsidRPr="00680D98" w:rsidRDefault="001670EC" w:rsidP="008C6A44">
            <w:r w:rsidRPr="00680D98">
              <w:t>Warren</w:t>
            </w:r>
          </w:p>
        </w:tc>
        <w:tc>
          <w:tcPr>
            <w:tcW w:w="0" w:type="auto"/>
            <w:vAlign w:val="center"/>
          </w:tcPr>
          <w:p w:rsidR="001670EC" w:rsidRPr="00680D98" w:rsidRDefault="001670EC" w:rsidP="005B5B98">
            <w:pPr>
              <w:jc w:val="center"/>
            </w:pPr>
            <w:r w:rsidRPr="00680D98">
              <w:t>Cancer</w:t>
            </w:r>
          </w:p>
        </w:tc>
        <w:tc>
          <w:tcPr>
            <w:tcW w:w="0" w:type="auto"/>
            <w:vAlign w:val="center"/>
          </w:tcPr>
          <w:p w:rsidR="001670EC" w:rsidRPr="00680D98" w:rsidRDefault="001670EC" w:rsidP="005B5B98">
            <w:pPr>
              <w:jc w:val="center"/>
            </w:pPr>
            <w:r w:rsidRPr="00680D98">
              <w:t>Heart Disease</w:t>
            </w:r>
          </w:p>
        </w:tc>
        <w:tc>
          <w:tcPr>
            <w:tcW w:w="0" w:type="auto"/>
            <w:vAlign w:val="center"/>
          </w:tcPr>
          <w:p w:rsidR="001670EC" w:rsidRPr="00680D98" w:rsidRDefault="001670EC" w:rsidP="005B5B98">
            <w:pPr>
              <w:jc w:val="center"/>
            </w:pPr>
            <w:r w:rsidRPr="00680D98">
              <w:t>Chronic Lower Respiratory Disease</w:t>
            </w:r>
          </w:p>
        </w:tc>
        <w:tc>
          <w:tcPr>
            <w:tcW w:w="0" w:type="auto"/>
            <w:vAlign w:val="center"/>
          </w:tcPr>
          <w:p w:rsidR="001670EC" w:rsidRPr="00680D98" w:rsidRDefault="001670EC" w:rsidP="005B5B98">
            <w:pPr>
              <w:jc w:val="center"/>
            </w:pPr>
            <w:r w:rsidRPr="00680D98">
              <w:t>Unintentional Injury</w:t>
            </w:r>
          </w:p>
        </w:tc>
        <w:tc>
          <w:tcPr>
            <w:tcW w:w="0" w:type="auto"/>
            <w:vAlign w:val="center"/>
          </w:tcPr>
          <w:p w:rsidR="001670EC" w:rsidRPr="00680D98" w:rsidRDefault="001670EC" w:rsidP="005B5B98">
            <w:pPr>
              <w:jc w:val="center"/>
            </w:pPr>
            <w:r w:rsidRPr="00680D98">
              <w:t>Suicide</w:t>
            </w:r>
          </w:p>
        </w:tc>
      </w:tr>
      <w:tr w:rsidR="001670EC" w:rsidRPr="00680D98" w:rsidTr="00BA300B">
        <w:trPr>
          <w:trHeight w:val="611"/>
        </w:trPr>
        <w:tc>
          <w:tcPr>
            <w:tcW w:w="0" w:type="auto"/>
            <w:vAlign w:val="center"/>
          </w:tcPr>
          <w:p w:rsidR="001670EC" w:rsidRPr="00680D98" w:rsidRDefault="001670EC" w:rsidP="008C6A44">
            <w:r w:rsidRPr="00680D98">
              <w:t>Washington</w:t>
            </w:r>
          </w:p>
        </w:tc>
        <w:tc>
          <w:tcPr>
            <w:tcW w:w="0" w:type="auto"/>
            <w:vAlign w:val="center"/>
          </w:tcPr>
          <w:p w:rsidR="001670EC" w:rsidRPr="00680D98" w:rsidRDefault="001670EC" w:rsidP="000825DC">
            <w:pPr>
              <w:jc w:val="center"/>
            </w:pPr>
            <w:r w:rsidRPr="00680D98">
              <w:t>Cancer</w:t>
            </w:r>
          </w:p>
        </w:tc>
        <w:tc>
          <w:tcPr>
            <w:tcW w:w="0" w:type="auto"/>
            <w:vAlign w:val="center"/>
          </w:tcPr>
          <w:p w:rsidR="001670EC" w:rsidRPr="00680D98" w:rsidRDefault="001670EC" w:rsidP="000825DC">
            <w:pPr>
              <w:jc w:val="center"/>
            </w:pPr>
            <w:r w:rsidRPr="00680D98">
              <w:t>Heart Disease</w:t>
            </w:r>
          </w:p>
        </w:tc>
        <w:tc>
          <w:tcPr>
            <w:tcW w:w="0" w:type="auto"/>
            <w:vAlign w:val="center"/>
          </w:tcPr>
          <w:p w:rsidR="001670EC" w:rsidRPr="00680D98" w:rsidRDefault="001670EC" w:rsidP="000825DC">
            <w:pPr>
              <w:jc w:val="center"/>
            </w:pPr>
            <w:r w:rsidRPr="00680D98">
              <w:t>Unintentional Injury</w:t>
            </w:r>
          </w:p>
        </w:tc>
        <w:tc>
          <w:tcPr>
            <w:tcW w:w="0" w:type="auto"/>
            <w:vAlign w:val="center"/>
          </w:tcPr>
          <w:p w:rsidR="001670EC" w:rsidRPr="00680D98" w:rsidRDefault="001670EC" w:rsidP="000825DC">
            <w:pPr>
              <w:jc w:val="center"/>
            </w:pPr>
            <w:r w:rsidRPr="00680D98">
              <w:t>Chronic Lower Respiratory Disease</w:t>
            </w:r>
          </w:p>
        </w:tc>
        <w:tc>
          <w:tcPr>
            <w:tcW w:w="0" w:type="auto"/>
            <w:vAlign w:val="center"/>
          </w:tcPr>
          <w:p w:rsidR="001670EC" w:rsidRPr="00680D98" w:rsidRDefault="001670EC" w:rsidP="005B5B98">
            <w:pPr>
              <w:jc w:val="center"/>
            </w:pPr>
            <w:r w:rsidRPr="00680D98">
              <w:t>Suicide</w:t>
            </w:r>
          </w:p>
        </w:tc>
      </w:tr>
    </w:tbl>
    <w:p w:rsidR="001670EC" w:rsidRPr="00B172E7" w:rsidRDefault="001670EC" w:rsidP="00424F2C">
      <w:pPr>
        <w:rPr>
          <w:sz w:val="14"/>
          <w:szCs w:val="14"/>
        </w:rPr>
      </w:pPr>
      <w:r w:rsidRPr="00B172E7">
        <w:rPr>
          <w:sz w:val="14"/>
          <w:szCs w:val="14"/>
        </w:rPr>
        <w:t>Source:   New York State Web Site. 2008-2010 Data</w:t>
      </w:r>
    </w:p>
    <w:p w:rsidR="001670EC" w:rsidRDefault="001670EC" w:rsidP="00424F2C">
      <w:pPr>
        <w:rPr>
          <w:rStyle w:val="Heading2Char"/>
        </w:rPr>
      </w:pPr>
      <w:r>
        <w:t>Throughout the region, the leading causes of premature death are cancer and heart disease which reflect Fulton County’s experience.  With the exception of septicemia, all of the leading causes of premature death in Fulton County are related to tobacco use.</w:t>
      </w:r>
      <w:r>
        <w:br w:type="page"/>
      </w:r>
      <w:bookmarkStart w:id="38" w:name="_Toc355250982"/>
      <w:r>
        <w:rPr>
          <w:rStyle w:val="Heading2Char"/>
        </w:rPr>
        <w:t>Table 5</w:t>
      </w:r>
      <w:r w:rsidRPr="00325832">
        <w:rPr>
          <w:rStyle w:val="Heading2Char"/>
        </w:rPr>
        <w:t>: Health Needs Priority Rankings</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3"/>
        <w:gridCol w:w="2113"/>
        <w:gridCol w:w="1794"/>
        <w:gridCol w:w="1795"/>
        <w:gridCol w:w="1704"/>
        <w:gridCol w:w="1397"/>
      </w:tblGrid>
      <w:tr w:rsidR="001670EC" w:rsidRPr="00680D98" w:rsidTr="00680D98">
        <w:tc>
          <w:tcPr>
            <w:tcW w:w="773" w:type="dxa"/>
            <w:vAlign w:val="center"/>
          </w:tcPr>
          <w:p w:rsidR="001670EC" w:rsidRPr="00680D98" w:rsidRDefault="001670EC" w:rsidP="00680D98">
            <w:pPr>
              <w:spacing w:after="0" w:line="240" w:lineRule="auto"/>
              <w:jc w:val="center"/>
              <w:rPr>
                <w:b/>
                <w:sz w:val="18"/>
                <w:szCs w:val="18"/>
              </w:rPr>
            </w:pPr>
            <w:r w:rsidRPr="00680D98">
              <w:rPr>
                <w:b/>
                <w:sz w:val="18"/>
                <w:szCs w:val="18"/>
              </w:rPr>
              <w:t>Priority Rank</w:t>
            </w:r>
          </w:p>
        </w:tc>
        <w:tc>
          <w:tcPr>
            <w:tcW w:w="2125" w:type="dxa"/>
            <w:vAlign w:val="center"/>
          </w:tcPr>
          <w:p w:rsidR="001670EC" w:rsidRPr="00680D98" w:rsidRDefault="001670EC" w:rsidP="00680D98">
            <w:pPr>
              <w:spacing w:after="0" w:line="240" w:lineRule="auto"/>
              <w:jc w:val="center"/>
              <w:rPr>
                <w:b/>
                <w:sz w:val="18"/>
                <w:szCs w:val="18"/>
              </w:rPr>
            </w:pPr>
            <w:r>
              <w:rPr>
                <w:b/>
                <w:sz w:val="18"/>
                <w:szCs w:val="18"/>
              </w:rPr>
              <w:t xml:space="preserve">Prevention Agenda </w:t>
            </w:r>
            <w:r w:rsidRPr="00680D98">
              <w:rPr>
                <w:b/>
                <w:sz w:val="18"/>
                <w:szCs w:val="18"/>
              </w:rPr>
              <w:t>Indicator Severity Score</w:t>
            </w:r>
          </w:p>
        </w:tc>
        <w:tc>
          <w:tcPr>
            <w:tcW w:w="1800" w:type="dxa"/>
            <w:vAlign w:val="center"/>
          </w:tcPr>
          <w:p w:rsidR="001670EC" w:rsidRPr="00680D98" w:rsidRDefault="001670EC" w:rsidP="00680D98">
            <w:pPr>
              <w:spacing w:after="0" w:line="240" w:lineRule="auto"/>
              <w:jc w:val="center"/>
              <w:rPr>
                <w:b/>
                <w:sz w:val="18"/>
                <w:szCs w:val="18"/>
              </w:rPr>
            </w:pPr>
            <w:r w:rsidRPr="00680D98">
              <w:rPr>
                <w:b/>
                <w:sz w:val="18"/>
                <w:szCs w:val="18"/>
              </w:rPr>
              <w:t>Leading Causes of Premature Death</w:t>
            </w:r>
          </w:p>
        </w:tc>
        <w:tc>
          <w:tcPr>
            <w:tcW w:w="1800" w:type="dxa"/>
            <w:vAlign w:val="center"/>
          </w:tcPr>
          <w:p w:rsidR="001670EC" w:rsidRPr="00680D98" w:rsidRDefault="001670EC" w:rsidP="00680D98">
            <w:pPr>
              <w:spacing w:after="0" w:line="240" w:lineRule="auto"/>
              <w:jc w:val="center"/>
              <w:rPr>
                <w:b/>
                <w:sz w:val="18"/>
                <w:szCs w:val="18"/>
              </w:rPr>
            </w:pPr>
            <w:r w:rsidRPr="00680D98">
              <w:rPr>
                <w:b/>
                <w:sz w:val="18"/>
                <w:szCs w:val="18"/>
              </w:rPr>
              <w:t xml:space="preserve">County Health Rankings for NYS </w:t>
            </w:r>
          </w:p>
        </w:tc>
        <w:tc>
          <w:tcPr>
            <w:tcW w:w="1710" w:type="dxa"/>
            <w:vAlign w:val="center"/>
          </w:tcPr>
          <w:p w:rsidR="001670EC" w:rsidRPr="00680D98" w:rsidRDefault="001670EC" w:rsidP="00680D98">
            <w:pPr>
              <w:spacing w:after="0" w:line="240" w:lineRule="auto"/>
              <w:jc w:val="center"/>
              <w:rPr>
                <w:b/>
                <w:sz w:val="18"/>
                <w:szCs w:val="18"/>
              </w:rPr>
            </w:pPr>
            <w:r w:rsidRPr="00680D98">
              <w:rPr>
                <w:b/>
                <w:sz w:val="18"/>
                <w:szCs w:val="18"/>
              </w:rPr>
              <w:t>ARHN Survey Results</w:t>
            </w:r>
          </w:p>
        </w:tc>
        <w:tc>
          <w:tcPr>
            <w:tcW w:w="1368" w:type="dxa"/>
            <w:vAlign w:val="center"/>
          </w:tcPr>
          <w:p w:rsidR="001670EC" w:rsidRPr="00680D98" w:rsidRDefault="001670EC" w:rsidP="00680D98">
            <w:pPr>
              <w:spacing w:after="0" w:line="240" w:lineRule="auto"/>
              <w:jc w:val="center"/>
              <w:rPr>
                <w:b/>
                <w:sz w:val="18"/>
                <w:szCs w:val="18"/>
                <w:highlight w:val="yellow"/>
              </w:rPr>
            </w:pPr>
            <w:r w:rsidRPr="00620C7B">
              <w:rPr>
                <w:b/>
                <w:sz w:val="18"/>
                <w:szCs w:val="18"/>
              </w:rPr>
              <w:t>Prevention agenda  and local indicators severity score</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1</w:t>
            </w:r>
          </w:p>
        </w:tc>
        <w:tc>
          <w:tcPr>
            <w:tcW w:w="2125" w:type="dxa"/>
          </w:tcPr>
          <w:p w:rsidR="001670EC" w:rsidRPr="000327FF" w:rsidRDefault="001670EC" w:rsidP="000327FF">
            <w:pPr>
              <w:spacing w:after="0" w:line="240" w:lineRule="auto"/>
              <w:jc w:val="center"/>
              <w:rPr>
                <w:sz w:val="20"/>
                <w:szCs w:val="20"/>
              </w:rPr>
            </w:pPr>
            <w:r w:rsidRPr="000327FF">
              <w:rPr>
                <w:bCs/>
                <w:color w:val="000000"/>
                <w:sz w:val="20"/>
                <w:szCs w:val="20"/>
              </w:rPr>
              <w:t>Reduce Illness, Disability, and Death Related to Tobacco Use and Secondhand Smoke Exposure</w:t>
            </w:r>
          </w:p>
        </w:tc>
        <w:tc>
          <w:tcPr>
            <w:tcW w:w="1800" w:type="dxa"/>
          </w:tcPr>
          <w:p w:rsidR="001670EC" w:rsidRPr="000327FF" w:rsidRDefault="001670EC" w:rsidP="000327FF">
            <w:pPr>
              <w:spacing w:after="0" w:line="240" w:lineRule="auto"/>
              <w:jc w:val="center"/>
              <w:rPr>
                <w:sz w:val="20"/>
                <w:szCs w:val="20"/>
              </w:rPr>
            </w:pPr>
            <w:r w:rsidRPr="000327FF">
              <w:rPr>
                <w:sz w:val="20"/>
                <w:szCs w:val="20"/>
              </w:rPr>
              <w:t>Cancer</w:t>
            </w:r>
          </w:p>
        </w:tc>
        <w:tc>
          <w:tcPr>
            <w:tcW w:w="1800" w:type="dxa"/>
          </w:tcPr>
          <w:p w:rsidR="001670EC" w:rsidRPr="000327FF" w:rsidRDefault="001670EC" w:rsidP="000327FF">
            <w:pPr>
              <w:spacing w:after="0" w:line="240" w:lineRule="auto"/>
              <w:jc w:val="center"/>
              <w:rPr>
                <w:sz w:val="20"/>
                <w:szCs w:val="20"/>
              </w:rPr>
            </w:pPr>
            <w:r w:rsidRPr="000327FF">
              <w:rPr>
                <w:sz w:val="20"/>
                <w:szCs w:val="20"/>
              </w:rPr>
              <w:t>Alcohol Use</w:t>
            </w:r>
          </w:p>
        </w:tc>
        <w:tc>
          <w:tcPr>
            <w:tcW w:w="1710" w:type="dxa"/>
          </w:tcPr>
          <w:p w:rsidR="001670EC" w:rsidRPr="000327FF" w:rsidRDefault="001670EC" w:rsidP="000327FF">
            <w:pPr>
              <w:spacing w:after="0" w:line="240" w:lineRule="auto"/>
              <w:jc w:val="center"/>
              <w:rPr>
                <w:sz w:val="20"/>
                <w:szCs w:val="20"/>
              </w:rPr>
            </w:pPr>
            <w:r w:rsidRPr="000327FF">
              <w:rPr>
                <w:sz w:val="20"/>
                <w:szCs w:val="20"/>
              </w:rPr>
              <w:t>Prevent Chronic Disease</w:t>
            </w: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Prevent Substance Abuse and Other Mental, Emotional, and Behavioral Disorders</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2</w:t>
            </w:r>
          </w:p>
        </w:tc>
        <w:tc>
          <w:tcPr>
            <w:tcW w:w="2125" w:type="dxa"/>
          </w:tcPr>
          <w:p w:rsidR="001670EC" w:rsidRPr="000327FF" w:rsidRDefault="001670EC" w:rsidP="000327FF">
            <w:pPr>
              <w:spacing w:after="0" w:line="240" w:lineRule="auto"/>
              <w:jc w:val="center"/>
              <w:rPr>
                <w:sz w:val="20"/>
                <w:szCs w:val="20"/>
              </w:rPr>
            </w:pPr>
            <w:r w:rsidRPr="000327FF">
              <w:rPr>
                <w:bCs/>
                <w:color w:val="000000"/>
                <w:sz w:val="20"/>
                <w:szCs w:val="20"/>
              </w:rPr>
              <w:t>Built Environment</w:t>
            </w:r>
          </w:p>
        </w:tc>
        <w:tc>
          <w:tcPr>
            <w:tcW w:w="1800" w:type="dxa"/>
          </w:tcPr>
          <w:p w:rsidR="001670EC" w:rsidRPr="000327FF" w:rsidRDefault="001670EC" w:rsidP="000327FF">
            <w:pPr>
              <w:spacing w:after="0" w:line="240" w:lineRule="auto"/>
              <w:jc w:val="center"/>
              <w:rPr>
                <w:sz w:val="20"/>
                <w:szCs w:val="20"/>
              </w:rPr>
            </w:pPr>
            <w:r w:rsidRPr="000327FF">
              <w:rPr>
                <w:sz w:val="20"/>
                <w:szCs w:val="20"/>
              </w:rPr>
              <w:t>Heart</w:t>
            </w:r>
          </w:p>
        </w:tc>
        <w:tc>
          <w:tcPr>
            <w:tcW w:w="1800" w:type="dxa"/>
          </w:tcPr>
          <w:p w:rsidR="001670EC" w:rsidRPr="000327FF" w:rsidRDefault="001670EC" w:rsidP="000327FF">
            <w:pPr>
              <w:spacing w:after="0" w:line="240" w:lineRule="auto"/>
              <w:jc w:val="center"/>
              <w:rPr>
                <w:sz w:val="20"/>
                <w:szCs w:val="20"/>
              </w:rPr>
            </w:pPr>
            <w:r w:rsidRPr="000327FF">
              <w:rPr>
                <w:sz w:val="20"/>
                <w:szCs w:val="20"/>
              </w:rPr>
              <w:t>Diet &amp; Exercise</w:t>
            </w:r>
          </w:p>
        </w:tc>
        <w:tc>
          <w:tcPr>
            <w:tcW w:w="1710" w:type="dxa"/>
          </w:tcPr>
          <w:p w:rsidR="001670EC" w:rsidRPr="000327FF" w:rsidRDefault="001670EC" w:rsidP="000327FF">
            <w:pPr>
              <w:spacing w:after="0" w:line="240" w:lineRule="auto"/>
              <w:jc w:val="center"/>
              <w:rPr>
                <w:sz w:val="20"/>
                <w:szCs w:val="20"/>
              </w:rPr>
            </w:pPr>
            <w:r w:rsidRPr="000327FF">
              <w:rPr>
                <w:sz w:val="20"/>
                <w:szCs w:val="20"/>
              </w:rPr>
              <w:t>Promote Mental, Emotional and Behavioral Health &amp; Prevent Substance Abuse</w:t>
            </w: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Healthcare Associated Infections</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3</w:t>
            </w:r>
          </w:p>
        </w:tc>
        <w:tc>
          <w:tcPr>
            <w:tcW w:w="2125" w:type="dxa"/>
          </w:tcPr>
          <w:p w:rsidR="001670EC" w:rsidRPr="000327FF" w:rsidRDefault="001670EC" w:rsidP="000327FF">
            <w:pPr>
              <w:spacing w:after="0" w:line="240" w:lineRule="auto"/>
              <w:jc w:val="center"/>
              <w:rPr>
                <w:sz w:val="20"/>
                <w:szCs w:val="20"/>
              </w:rPr>
            </w:pPr>
            <w:r w:rsidRPr="000327FF">
              <w:rPr>
                <w:bCs/>
                <w:color w:val="000000"/>
                <w:sz w:val="20"/>
                <w:szCs w:val="20"/>
              </w:rPr>
              <w:t>Violence, and Occupational Health</w:t>
            </w:r>
          </w:p>
        </w:tc>
        <w:tc>
          <w:tcPr>
            <w:tcW w:w="1800" w:type="dxa"/>
          </w:tcPr>
          <w:p w:rsidR="001670EC" w:rsidRPr="000327FF" w:rsidRDefault="001670EC" w:rsidP="000327FF">
            <w:pPr>
              <w:spacing w:after="0" w:line="240" w:lineRule="auto"/>
              <w:jc w:val="center"/>
              <w:rPr>
                <w:sz w:val="20"/>
                <w:szCs w:val="20"/>
              </w:rPr>
            </w:pPr>
            <w:r w:rsidRPr="000327FF">
              <w:rPr>
                <w:sz w:val="20"/>
                <w:szCs w:val="20"/>
              </w:rPr>
              <w:t>CLRD</w:t>
            </w:r>
          </w:p>
        </w:tc>
        <w:tc>
          <w:tcPr>
            <w:tcW w:w="1800" w:type="dxa"/>
          </w:tcPr>
          <w:p w:rsidR="001670EC" w:rsidRPr="000327FF" w:rsidRDefault="001670EC" w:rsidP="000327FF">
            <w:pPr>
              <w:spacing w:after="0" w:line="240" w:lineRule="auto"/>
              <w:jc w:val="center"/>
              <w:rPr>
                <w:sz w:val="20"/>
                <w:szCs w:val="20"/>
              </w:rPr>
            </w:pPr>
            <w:r w:rsidRPr="000327FF">
              <w:rPr>
                <w:sz w:val="20"/>
                <w:szCs w:val="20"/>
              </w:rPr>
              <w:t>Tobacco Use</w:t>
            </w:r>
          </w:p>
        </w:tc>
        <w:tc>
          <w:tcPr>
            <w:tcW w:w="1710" w:type="dxa"/>
          </w:tcPr>
          <w:p w:rsidR="001670EC" w:rsidRPr="000327FF" w:rsidRDefault="001670EC" w:rsidP="000327FF">
            <w:pPr>
              <w:spacing w:after="0" w:line="240" w:lineRule="auto"/>
              <w:jc w:val="center"/>
              <w:rPr>
                <w:sz w:val="20"/>
                <w:szCs w:val="20"/>
              </w:rPr>
            </w:pPr>
            <w:r w:rsidRPr="000327FF">
              <w:rPr>
                <w:sz w:val="20"/>
                <w:szCs w:val="20"/>
              </w:rPr>
              <w:t>Promote Healthy &amp; Safe Environment</w:t>
            </w: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Reduce Illness, Disability, and Death Related to Tobacco Use &amp; Secondhand Smoke Exposure</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4</w:t>
            </w:r>
          </w:p>
        </w:tc>
        <w:tc>
          <w:tcPr>
            <w:tcW w:w="2125" w:type="dxa"/>
          </w:tcPr>
          <w:p w:rsidR="001670EC" w:rsidRPr="000327FF" w:rsidRDefault="001670EC" w:rsidP="000327FF">
            <w:pPr>
              <w:spacing w:after="0" w:line="240" w:lineRule="auto"/>
              <w:jc w:val="center"/>
              <w:rPr>
                <w:sz w:val="20"/>
                <w:szCs w:val="20"/>
              </w:rPr>
            </w:pPr>
            <w:r w:rsidRPr="000327FF">
              <w:rPr>
                <w:bCs/>
                <w:color w:val="000000"/>
                <w:sz w:val="20"/>
                <w:szCs w:val="20"/>
              </w:rPr>
              <w:t>Increase Access to High Quality Chronic Disease Preventive Care and Management in Both Clinical and Community Settings</w:t>
            </w:r>
          </w:p>
        </w:tc>
        <w:tc>
          <w:tcPr>
            <w:tcW w:w="1800" w:type="dxa"/>
          </w:tcPr>
          <w:p w:rsidR="001670EC" w:rsidRPr="000327FF" w:rsidRDefault="001670EC" w:rsidP="000327FF">
            <w:pPr>
              <w:spacing w:after="0" w:line="240" w:lineRule="auto"/>
              <w:jc w:val="center"/>
              <w:rPr>
                <w:sz w:val="20"/>
                <w:szCs w:val="20"/>
              </w:rPr>
            </w:pPr>
            <w:r w:rsidRPr="000327FF">
              <w:rPr>
                <w:sz w:val="20"/>
                <w:szCs w:val="20"/>
              </w:rPr>
              <w:t>Unintentional Injury</w:t>
            </w:r>
          </w:p>
        </w:tc>
        <w:tc>
          <w:tcPr>
            <w:tcW w:w="1800" w:type="dxa"/>
          </w:tcPr>
          <w:p w:rsidR="001670EC" w:rsidRPr="000327FF" w:rsidRDefault="001670EC" w:rsidP="000327FF">
            <w:pPr>
              <w:spacing w:after="0" w:line="240" w:lineRule="auto"/>
              <w:jc w:val="center"/>
              <w:rPr>
                <w:sz w:val="20"/>
                <w:szCs w:val="20"/>
              </w:rPr>
            </w:pPr>
            <w:r w:rsidRPr="000327FF">
              <w:rPr>
                <w:sz w:val="20"/>
                <w:szCs w:val="20"/>
              </w:rPr>
              <w:t>Quality of Care</w:t>
            </w:r>
          </w:p>
        </w:tc>
        <w:tc>
          <w:tcPr>
            <w:tcW w:w="1710" w:type="dxa"/>
          </w:tcPr>
          <w:p w:rsidR="001670EC" w:rsidRPr="000327FF" w:rsidRDefault="001670EC" w:rsidP="000327FF">
            <w:pPr>
              <w:spacing w:after="0" w:line="240" w:lineRule="auto"/>
              <w:jc w:val="center"/>
              <w:rPr>
                <w:sz w:val="20"/>
                <w:szCs w:val="20"/>
              </w:rPr>
            </w:pPr>
            <w:r w:rsidRPr="000327FF">
              <w:rPr>
                <w:sz w:val="20"/>
                <w:szCs w:val="20"/>
              </w:rPr>
              <w:t>Promote Healthy Women &amp; Children</w:t>
            </w: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Child Health</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5</w:t>
            </w:r>
          </w:p>
        </w:tc>
        <w:tc>
          <w:tcPr>
            <w:tcW w:w="2125" w:type="dxa"/>
          </w:tcPr>
          <w:p w:rsidR="001670EC" w:rsidRPr="000327FF" w:rsidRDefault="001670EC" w:rsidP="000327FF">
            <w:pPr>
              <w:jc w:val="center"/>
              <w:rPr>
                <w:bCs/>
                <w:color w:val="000000"/>
                <w:sz w:val="20"/>
                <w:szCs w:val="20"/>
              </w:rPr>
            </w:pPr>
            <w:r w:rsidRPr="000327FF">
              <w:rPr>
                <w:bCs/>
                <w:color w:val="000000"/>
                <w:sz w:val="20"/>
                <w:szCs w:val="20"/>
              </w:rPr>
              <w:t>Prevent Substance Abuse and Other Mental, Emotional, and Behavioral Disorders</w:t>
            </w:r>
          </w:p>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r w:rsidRPr="000327FF">
              <w:rPr>
                <w:sz w:val="20"/>
                <w:szCs w:val="20"/>
              </w:rPr>
              <w:t>Septicemia</w:t>
            </w:r>
          </w:p>
        </w:tc>
        <w:tc>
          <w:tcPr>
            <w:tcW w:w="1800" w:type="dxa"/>
          </w:tcPr>
          <w:p w:rsidR="001670EC" w:rsidRPr="000327FF" w:rsidRDefault="001670EC" w:rsidP="000327FF">
            <w:pPr>
              <w:spacing w:after="0" w:line="240" w:lineRule="auto"/>
              <w:jc w:val="center"/>
              <w:rPr>
                <w:sz w:val="20"/>
                <w:szCs w:val="20"/>
              </w:rPr>
            </w:pPr>
            <w:r w:rsidRPr="000327FF">
              <w:rPr>
                <w:sz w:val="20"/>
                <w:szCs w:val="20"/>
              </w:rPr>
              <w:t>Built Environment</w:t>
            </w:r>
          </w:p>
        </w:tc>
        <w:tc>
          <w:tcPr>
            <w:tcW w:w="1710" w:type="dxa"/>
          </w:tcPr>
          <w:p w:rsidR="001670EC" w:rsidRPr="000327FF" w:rsidRDefault="001670EC" w:rsidP="000327FF">
            <w:pPr>
              <w:spacing w:after="0" w:line="240" w:lineRule="auto"/>
              <w:jc w:val="center"/>
              <w:rPr>
                <w:sz w:val="20"/>
                <w:szCs w:val="20"/>
              </w:rPr>
            </w:pPr>
            <w:r w:rsidRPr="000327FF">
              <w:rPr>
                <w:sz w:val="20"/>
                <w:szCs w:val="20"/>
              </w:rPr>
              <w:t>Prevent HIV/STI and Vaccine Preventable Diseases</w:t>
            </w: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Preconception and Reproductive Health</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6</w:t>
            </w:r>
          </w:p>
        </w:tc>
        <w:tc>
          <w:tcPr>
            <w:tcW w:w="2125" w:type="dxa"/>
          </w:tcPr>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r w:rsidRPr="000327FF">
              <w:rPr>
                <w:sz w:val="20"/>
                <w:szCs w:val="20"/>
              </w:rPr>
              <w:t>Environmental Quality</w:t>
            </w:r>
          </w:p>
        </w:tc>
        <w:tc>
          <w:tcPr>
            <w:tcW w:w="1710" w:type="dxa"/>
          </w:tcPr>
          <w:p w:rsidR="001670EC" w:rsidRPr="000327FF" w:rsidRDefault="001670EC" w:rsidP="000327FF">
            <w:pPr>
              <w:spacing w:after="0" w:line="240" w:lineRule="auto"/>
              <w:jc w:val="center"/>
              <w:rPr>
                <w:sz w:val="20"/>
                <w:szCs w:val="20"/>
              </w:rPr>
            </w:pP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Increase Access to High Quality Chronic Disease Preventive Care &amp; Management</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7</w:t>
            </w:r>
          </w:p>
        </w:tc>
        <w:tc>
          <w:tcPr>
            <w:tcW w:w="2125" w:type="dxa"/>
          </w:tcPr>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r w:rsidRPr="000327FF">
              <w:rPr>
                <w:sz w:val="20"/>
                <w:szCs w:val="20"/>
              </w:rPr>
              <w:t>Access to Care</w:t>
            </w:r>
          </w:p>
        </w:tc>
        <w:tc>
          <w:tcPr>
            <w:tcW w:w="1710" w:type="dxa"/>
          </w:tcPr>
          <w:p w:rsidR="001670EC" w:rsidRPr="000327FF" w:rsidRDefault="001670EC" w:rsidP="000327FF">
            <w:pPr>
              <w:spacing w:after="0" w:line="240" w:lineRule="auto"/>
              <w:jc w:val="center"/>
              <w:rPr>
                <w:sz w:val="20"/>
                <w:szCs w:val="20"/>
              </w:rPr>
            </w:pPr>
          </w:p>
        </w:tc>
        <w:tc>
          <w:tcPr>
            <w:tcW w:w="1368" w:type="dxa"/>
          </w:tcPr>
          <w:p w:rsidR="001670EC" w:rsidRPr="000327FF" w:rsidRDefault="001670EC" w:rsidP="000327FF">
            <w:pPr>
              <w:spacing w:after="0" w:line="240" w:lineRule="auto"/>
              <w:jc w:val="center"/>
              <w:rPr>
                <w:sz w:val="20"/>
                <w:szCs w:val="20"/>
                <w:highlight w:val="yellow"/>
              </w:rPr>
            </w:pPr>
            <w:r w:rsidRPr="000327FF">
              <w:rPr>
                <w:bCs/>
                <w:color w:val="000000"/>
                <w:sz w:val="20"/>
                <w:szCs w:val="20"/>
              </w:rPr>
              <w:t>Maternal and Infant Health</w:t>
            </w:r>
          </w:p>
        </w:tc>
      </w:tr>
      <w:tr w:rsidR="001670EC" w:rsidRPr="00680D98" w:rsidTr="00680D98">
        <w:tc>
          <w:tcPr>
            <w:tcW w:w="773" w:type="dxa"/>
          </w:tcPr>
          <w:p w:rsidR="001670EC" w:rsidRPr="000327FF" w:rsidRDefault="001670EC" w:rsidP="000327FF">
            <w:pPr>
              <w:spacing w:after="0" w:line="240" w:lineRule="auto"/>
              <w:jc w:val="center"/>
              <w:rPr>
                <w:sz w:val="20"/>
                <w:szCs w:val="20"/>
              </w:rPr>
            </w:pPr>
            <w:r w:rsidRPr="000327FF">
              <w:rPr>
                <w:sz w:val="20"/>
                <w:szCs w:val="20"/>
              </w:rPr>
              <w:t>8</w:t>
            </w:r>
          </w:p>
        </w:tc>
        <w:tc>
          <w:tcPr>
            <w:tcW w:w="2125" w:type="dxa"/>
          </w:tcPr>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p>
        </w:tc>
        <w:tc>
          <w:tcPr>
            <w:tcW w:w="1800" w:type="dxa"/>
          </w:tcPr>
          <w:p w:rsidR="001670EC" w:rsidRPr="000327FF" w:rsidRDefault="001670EC" w:rsidP="000327FF">
            <w:pPr>
              <w:spacing w:after="0" w:line="240" w:lineRule="auto"/>
              <w:jc w:val="center"/>
              <w:rPr>
                <w:sz w:val="20"/>
                <w:szCs w:val="20"/>
              </w:rPr>
            </w:pPr>
            <w:r w:rsidRPr="000327FF">
              <w:rPr>
                <w:sz w:val="20"/>
                <w:szCs w:val="20"/>
              </w:rPr>
              <w:t>Sexual Activity</w:t>
            </w:r>
          </w:p>
        </w:tc>
        <w:tc>
          <w:tcPr>
            <w:tcW w:w="1710" w:type="dxa"/>
          </w:tcPr>
          <w:p w:rsidR="001670EC" w:rsidRPr="000327FF" w:rsidRDefault="001670EC" w:rsidP="000327FF">
            <w:pPr>
              <w:spacing w:after="0" w:line="240" w:lineRule="auto"/>
              <w:jc w:val="center"/>
              <w:rPr>
                <w:sz w:val="20"/>
                <w:szCs w:val="20"/>
              </w:rPr>
            </w:pPr>
          </w:p>
        </w:tc>
        <w:tc>
          <w:tcPr>
            <w:tcW w:w="1368" w:type="dxa"/>
          </w:tcPr>
          <w:p w:rsidR="001670EC" w:rsidRPr="000327FF" w:rsidRDefault="001670EC" w:rsidP="000327FF">
            <w:pPr>
              <w:spacing w:after="0" w:line="240" w:lineRule="auto"/>
              <w:jc w:val="center"/>
              <w:rPr>
                <w:sz w:val="20"/>
                <w:szCs w:val="20"/>
                <w:highlight w:val="yellow"/>
              </w:rPr>
            </w:pPr>
          </w:p>
        </w:tc>
      </w:tr>
    </w:tbl>
    <w:p w:rsidR="001670EC" w:rsidRPr="00054522" w:rsidRDefault="001670EC" w:rsidP="000327FF">
      <w:pPr>
        <w:jc w:val="center"/>
      </w:pPr>
    </w:p>
    <w:p w:rsidR="001670EC" w:rsidRPr="00636A07" w:rsidRDefault="001670EC" w:rsidP="00636A07">
      <w:pPr>
        <w:rPr>
          <w:color w:val="C00000"/>
        </w:rPr>
      </w:pPr>
      <w:bookmarkStart w:id="39" w:name="_Toc355250983"/>
    </w:p>
    <w:p w:rsidR="001670EC" w:rsidRDefault="001670EC" w:rsidP="0013240B">
      <w:pPr>
        <w:pStyle w:val="Heading2"/>
      </w:pPr>
      <w:r w:rsidRPr="005D1EA2">
        <w:t xml:space="preserve">Table </w:t>
      </w:r>
      <w:r>
        <w:t>6</w:t>
      </w:r>
      <w:r w:rsidRPr="005D1EA2">
        <w:t xml:space="preserve">: </w:t>
      </w:r>
      <w:r>
        <w:t>Health Indicator Trend Data</w:t>
      </w:r>
      <w:bookmarkEnd w:id="39"/>
    </w:p>
    <w:tbl>
      <w:tblPr>
        <w:tblW w:w="0" w:type="auto"/>
        <w:tblInd w:w="96" w:type="dxa"/>
        <w:tblLook w:val="00A0"/>
      </w:tblPr>
      <w:tblGrid>
        <w:gridCol w:w="5217"/>
        <w:gridCol w:w="718"/>
        <w:gridCol w:w="718"/>
        <w:gridCol w:w="718"/>
        <w:gridCol w:w="2109"/>
      </w:tblGrid>
      <w:tr w:rsidR="001670EC" w:rsidRPr="00680D98" w:rsidTr="0031631C">
        <w:trPr>
          <w:trHeight w:val="259"/>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D212CC" w:rsidRDefault="001670EC" w:rsidP="00636A07">
            <w:pPr>
              <w:spacing w:after="0" w:line="240" w:lineRule="auto"/>
              <w:rPr>
                <w:b/>
                <w:bCs/>
                <w:color w:val="000000"/>
              </w:rPr>
            </w:pPr>
            <w:r w:rsidRPr="00D212CC">
              <w:rPr>
                <w:b/>
                <w:bCs/>
                <w:color w:val="000000"/>
              </w:rPr>
              <w:t> </w:t>
            </w:r>
          </w:p>
        </w:tc>
        <w:tc>
          <w:tcPr>
            <w:tcW w:w="0" w:type="auto"/>
            <w:gridSpan w:val="3"/>
            <w:tcBorders>
              <w:top w:val="single" w:sz="8" w:space="0" w:color="auto"/>
              <w:left w:val="nil"/>
              <w:bottom w:val="nil"/>
              <w:right w:val="single" w:sz="8" w:space="0" w:color="000000"/>
            </w:tcBorders>
            <w:shd w:val="clear" w:color="000000" w:fill="A5A5A5"/>
            <w:vAlign w:val="bottom"/>
          </w:tcPr>
          <w:p w:rsidR="001670EC" w:rsidRPr="00D212CC" w:rsidRDefault="001670EC" w:rsidP="00D212CC">
            <w:pPr>
              <w:spacing w:after="0" w:line="240" w:lineRule="auto"/>
              <w:jc w:val="center"/>
              <w:rPr>
                <w:b/>
                <w:bCs/>
                <w:color w:val="000000"/>
                <w:sz w:val="16"/>
                <w:szCs w:val="16"/>
              </w:rPr>
            </w:pPr>
            <w:r w:rsidRPr="00D212CC">
              <w:rPr>
                <w:b/>
                <w:bCs/>
                <w:color w:val="000000"/>
                <w:sz w:val="16"/>
                <w:szCs w:val="16"/>
              </w:rPr>
              <w:t>Number Per Year</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D212CC" w:rsidRDefault="001670EC" w:rsidP="00D212CC">
            <w:pPr>
              <w:spacing w:after="0" w:line="240" w:lineRule="auto"/>
              <w:jc w:val="center"/>
              <w:rPr>
                <w:b/>
                <w:bCs/>
                <w:color w:val="000000"/>
                <w:sz w:val="16"/>
                <w:szCs w:val="16"/>
              </w:rPr>
            </w:pPr>
            <w:r w:rsidRPr="00D212CC">
              <w:rPr>
                <w:b/>
                <w:bCs/>
                <w:color w:val="000000"/>
                <w:sz w:val="16"/>
                <w:szCs w:val="16"/>
              </w:rPr>
              <w:t>Average Rate, Ratio or Percentage for the Listed Years</w:t>
            </w:r>
          </w:p>
        </w:tc>
      </w:tr>
      <w:tr w:rsidR="001670EC" w:rsidRPr="00680D98" w:rsidTr="0031631C">
        <w:trPr>
          <w:trHeight w:val="259"/>
        </w:trPr>
        <w:tc>
          <w:tcPr>
            <w:tcW w:w="0" w:type="auto"/>
            <w:tcBorders>
              <w:top w:val="nil"/>
              <w:left w:val="single" w:sz="8" w:space="0" w:color="auto"/>
              <w:bottom w:val="nil"/>
              <w:right w:val="single" w:sz="8" w:space="0" w:color="auto"/>
            </w:tcBorders>
            <w:shd w:val="clear" w:color="000000" w:fill="A5A5A5"/>
            <w:vAlign w:val="bottom"/>
          </w:tcPr>
          <w:p w:rsidR="001670EC" w:rsidRPr="00D212CC" w:rsidRDefault="001670EC" w:rsidP="003311B5">
            <w:pPr>
              <w:spacing w:after="0" w:line="240" w:lineRule="auto"/>
              <w:rPr>
                <w:b/>
                <w:bCs/>
                <w:color w:val="000000"/>
              </w:rPr>
            </w:pPr>
          </w:p>
        </w:tc>
        <w:tc>
          <w:tcPr>
            <w:tcW w:w="0" w:type="auto"/>
            <w:gridSpan w:val="3"/>
            <w:tcBorders>
              <w:top w:val="nil"/>
              <w:left w:val="nil"/>
              <w:bottom w:val="single" w:sz="4" w:space="0" w:color="auto"/>
              <w:right w:val="single" w:sz="8" w:space="0" w:color="000000"/>
            </w:tcBorders>
            <w:shd w:val="clear" w:color="000000" w:fill="A5A5A5"/>
            <w:vAlign w:val="bottom"/>
          </w:tcPr>
          <w:p w:rsidR="001670EC" w:rsidRPr="00D212CC" w:rsidRDefault="001670EC" w:rsidP="00D212CC">
            <w:pPr>
              <w:spacing w:after="0" w:line="240" w:lineRule="auto"/>
              <w:jc w:val="center"/>
              <w:rPr>
                <w:b/>
                <w:bCs/>
                <w:color w:val="000000"/>
                <w:sz w:val="16"/>
                <w:szCs w:val="16"/>
              </w:rPr>
            </w:pPr>
            <w:r w:rsidRPr="00D212CC">
              <w:rPr>
                <w:b/>
                <w:bCs/>
                <w:color w:val="000000"/>
                <w:sz w:val="16"/>
                <w:szCs w:val="16"/>
              </w:rPr>
              <w:t>(If Available)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D212CC" w:rsidRDefault="001670EC" w:rsidP="00D212CC">
            <w:pPr>
              <w:spacing w:after="0" w:line="240" w:lineRule="auto"/>
              <w:rPr>
                <w:b/>
                <w:bCs/>
                <w:color w:val="000000"/>
              </w:rPr>
            </w:pPr>
          </w:p>
        </w:tc>
      </w:tr>
      <w:tr w:rsidR="001670EC" w:rsidRPr="00680D98" w:rsidTr="0031631C">
        <w:trPr>
          <w:trHeight w:val="240"/>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D212CC" w:rsidRDefault="001670EC" w:rsidP="00D212CC">
            <w:pPr>
              <w:spacing w:after="0" w:line="240" w:lineRule="auto"/>
              <w:rPr>
                <w:color w:val="000000"/>
              </w:rPr>
            </w:pPr>
            <w:r w:rsidRPr="00D212CC">
              <w:rPr>
                <w:color w:val="000000"/>
              </w:rPr>
              <w:t> </w:t>
            </w:r>
            <w:r w:rsidRPr="00D212CC">
              <w:rPr>
                <w:b/>
                <w:bCs/>
                <w:color w:val="000000"/>
              </w:rPr>
              <w:t>Focus Area: Disparities </w:t>
            </w:r>
          </w:p>
        </w:tc>
        <w:tc>
          <w:tcPr>
            <w:tcW w:w="0" w:type="auto"/>
            <w:tcBorders>
              <w:top w:val="nil"/>
              <w:left w:val="nil"/>
              <w:bottom w:val="single" w:sz="4" w:space="0" w:color="auto"/>
              <w:right w:val="single" w:sz="4" w:space="0" w:color="auto"/>
            </w:tcBorders>
            <w:shd w:val="clear" w:color="000000" w:fill="A5A5A5"/>
            <w:noWrap/>
            <w:vAlign w:val="bottom"/>
          </w:tcPr>
          <w:p w:rsidR="001670EC" w:rsidRPr="00D212CC" w:rsidRDefault="001670EC" w:rsidP="00D212CC">
            <w:pPr>
              <w:spacing w:after="0" w:line="240" w:lineRule="auto"/>
              <w:jc w:val="center"/>
              <w:rPr>
                <w:b/>
                <w:bCs/>
                <w:color w:val="000000"/>
                <w:sz w:val="16"/>
                <w:szCs w:val="16"/>
              </w:rPr>
            </w:pPr>
            <w:r w:rsidRPr="00D212CC">
              <w:rPr>
                <w:b/>
                <w:bCs/>
                <w:color w:val="000000"/>
                <w:sz w:val="16"/>
                <w:szCs w:val="16"/>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D212CC" w:rsidRDefault="001670EC" w:rsidP="00D212CC">
            <w:pPr>
              <w:spacing w:after="0" w:line="240" w:lineRule="auto"/>
              <w:jc w:val="center"/>
              <w:rPr>
                <w:b/>
                <w:bCs/>
                <w:color w:val="000000"/>
                <w:sz w:val="16"/>
                <w:szCs w:val="16"/>
              </w:rPr>
            </w:pPr>
            <w:r w:rsidRPr="00D212CC">
              <w:rPr>
                <w:b/>
                <w:bCs/>
                <w:color w:val="000000"/>
                <w:sz w:val="16"/>
                <w:szCs w:val="16"/>
              </w:rPr>
              <w:t>Two</w:t>
            </w:r>
          </w:p>
        </w:tc>
        <w:tc>
          <w:tcPr>
            <w:tcW w:w="0" w:type="auto"/>
            <w:tcBorders>
              <w:top w:val="nil"/>
              <w:left w:val="nil"/>
              <w:bottom w:val="single" w:sz="4" w:space="0" w:color="auto"/>
              <w:right w:val="single" w:sz="8" w:space="0" w:color="auto"/>
            </w:tcBorders>
            <w:shd w:val="clear" w:color="000000" w:fill="A5A5A5"/>
            <w:noWrap/>
            <w:vAlign w:val="bottom"/>
          </w:tcPr>
          <w:p w:rsidR="001670EC" w:rsidRPr="00D212CC" w:rsidRDefault="001670EC" w:rsidP="00D212CC">
            <w:pPr>
              <w:spacing w:after="0" w:line="240" w:lineRule="auto"/>
              <w:jc w:val="center"/>
              <w:rPr>
                <w:b/>
                <w:bCs/>
                <w:color w:val="000000"/>
                <w:sz w:val="16"/>
                <w:szCs w:val="16"/>
              </w:rPr>
            </w:pPr>
            <w:r w:rsidRPr="00D212CC">
              <w:rPr>
                <w:b/>
                <w:bCs/>
                <w:color w:val="000000"/>
                <w:sz w:val="16"/>
                <w:szCs w:val="16"/>
              </w:rPr>
              <w:t>Three</w:t>
            </w:r>
          </w:p>
        </w:tc>
        <w:tc>
          <w:tcPr>
            <w:tcW w:w="0" w:type="auto"/>
            <w:vMerge/>
            <w:tcBorders>
              <w:top w:val="single" w:sz="8" w:space="0" w:color="auto"/>
              <w:left w:val="single" w:sz="8" w:space="0" w:color="auto"/>
              <w:bottom w:val="single" w:sz="8" w:space="0" w:color="auto"/>
              <w:right w:val="single" w:sz="8" w:space="0" w:color="auto"/>
            </w:tcBorders>
            <w:vAlign w:val="center"/>
          </w:tcPr>
          <w:p w:rsidR="001670EC" w:rsidRPr="00D212CC" w:rsidRDefault="001670EC" w:rsidP="00D212CC">
            <w:pPr>
              <w:spacing w:after="0" w:line="240" w:lineRule="auto"/>
              <w:rPr>
                <w:b/>
                <w:bCs/>
                <w:color w:val="000000"/>
              </w:rPr>
            </w:pPr>
          </w:p>
        </w:tc>
      </w:tr>
      <w:tr w:rsidR="001670EC" w:rsidRPr="00680D98" w:rsidTr="0031631C">
        <w:trPr>
          <w:trHeight w:val="240"/>
        </w:trPr>
        <w:tc>
          <w:tcPr>
            <w:tcW w:w="0" w:type="auto"/>
            <w:tcBorders>
              <w:top w:val="nil"/>
              <w:left w:val="single" w:sz="8" w:space="0" w:color="auto"/>
              <w:bottom w:val="nil"/>
              <w:right w:val="single" w:sz="8" w:space="0" w:color="auto"/>
            </w:tcBorders>
            <w:shd w:val="clear" w:color="000000" w:fill="BFBFBF"/>
            <w:noWrap/>
            <w:vAlign w:val="bottom"/>
          </w:tcPr>
          <w:p w:rsidR="001670EC" w:rsidRPr="00D212CC" w:rsidRDefault="001670EC" w:rsidP="00D212CC">
            <w:pPr>
              <w:spacing w:after="0" w:line="240" w:lineRule="auto"/>
              <w:rPr>
                <w:b/>
                <w:bCs/>
                <w:color w:val="000000"/>
              </w:rPr>
            </w:pPr>
          </w:p>
        </w:tc>
        <w:tc>
          <w:tcPr>
            <w:tcW w:w="0" w:type="auto"/>
            <w:tcBorders>
              <w:top w:val="nil"/>
              <w:left w:val="nil"/>
              <w:bottom w:val="single" w:sz="4" w:space="0" w:color="auto"/>
              <w:right w:val="nil"/>
            </w:tcBorders>
            <w:shd w:val="clear" w:color="000000" w:fill="BFBFBF"/>
            <w:noWrap/>
            <w:vAlign w:val="bottom"/>
          </w:tcPr>
          <w:p w:rsidR="001670EC" w:rsidRPr="00D212CC" w:rsidRDefault="001670EC" w:rsidP="00D212CC">
            <w:pPr>
              <w:spacing w:after="0" w:line="240" w:lineRule="auto"/>
              <w:rPr>
                <w:color w:val="000000"/>
              </w:rPr>
            </w:pPr>
            <w:r w:rsidRPr="00D212CC">
              <w:rPr>
                <w:color w:val="000000"/>
              </w:rPr>
              <w:t> </w:t>
            </w:r>
          </w:p>
        </w:tc>
        <w:tc>
          <w:tcPr>
            <w:tcW w:w="0" w:type="auto"/>
            <w:tcBorders>
              <w:top w:val="nil"/>
              <w:left w:val="nil"/>
              <w:bottom w:val="single" w:sz="4" w:space="0" w:color="auto"/>
              <w:right w:val="nil"/>
            </w:tcBorders>
            <w:shd w:val="clear" w:color="000000" w:fill="BFBFBF"/>
            <w:noWrap/>
            <w:vAlign w:val="bottom"/>
          </w:tcPr>
          <w:p w:rsidR="001670EC" w:rsidRPr="00D212CC" w:rsidRDefault="001670EC" w:rsidP="00D212CC">
            <w:pPr>
              <w:spacing w:after="0" w:line="240" w:lineRule="auto"/>
              <w:rPr>
                <w:color w:val="000000"/>
              </w:rPr>
            </w:pPr>
            <w:r w:rsidRPr="00D212CC">
              <w:rPr>
                <w:color w:val="000000"/>
              </w:rPr>
              <w:t> </w:t>
            </w:r>
          </w:p>
        </w:tc>
        <w:tc>
          <w:tcPr>
            <w:tcW w:w="0" w:type="auto"/>
            <w:tcBorders>
              <w:top w:val="nil"/>
              <w:left w:val="nil"/>
              <w:bottom w:val="single" w:sz="4" w:space="0" w:color="auto"/>
              <w:right w:val="single" w:sz="8" w:space="0" w:color="auto"/>
            </w:tcBorders>
            <w:shd w:val="clear" w:color="000000" w:fill="BFBFBF"/>
            <w:noWrap/>
            <w:vAlign w:val="bottom"/>
          </w:tcPr>
          <w:p w:rsidR="001670EC" w:rsidRPr="00D212CC" w:rsidRDefault="001670EC" w:rsidP="00D212CC">
            <w:pPr>
              <w:spacing w:after="0" w:line="240" w:lineRule="auto"/>
              <w:rPr>
                <w:color w:val="000000"/>
              </w:rPr>
            </w:pPr>
            <w:r w:rsidRPr="00D212CC">
              <w:rPr>
                <w:color w:val="000000"/>
              </w:rPr>
              <w:t> </w:t>
            </w:r>
          </w:p>
        </w:tc>
        <w:tc>
          <w:tcPr>
            <w:tcW w:w="0" w:type="auto"/>
            <w:tcBorders>
              <w:top w:val="single" w:sz="8" w:space="0" w:color="auto"/>
              <w:left w:val="single" w:sz="8" w:space="0" w:color="auto"/>
              <w:bottom w:val="single" w:sz="4" w:space="0" w:color="auto"/>
              <w:right w:val="single" w:sz="4" w:space="0" w:color="auto"/>
            </w:tcBorders>
            <w:shd w:val="clear" w:color="000000" w:fill="BFBFBF"/>
            <w:noWrap/>
            <w:vAlign w:val="bottom"/>
          </w:tcPr>
          <w:p w:rsidR="001670EC" w:rsidRPr="00D212CC" w:rsidRDefault="001670EC" w:rsidP="00D212CC">
            <w:pPr>
              <w:spacing w:after="0" w:line="240" w:lineRule="auto"/>
              <w:rPr>
                <w:color w:val="000000"/>
              </w:rPr>
            </w:pPr>
            <w:r w:rsidRPr="00D212CC">
              <w:rPr>
                <w:color w:val="000000"/>
              </w:rPr>
              <w:t> </w:t>
            </w:r>
          </w:p>
        </w:tc>
      </w:tr>
      <w:tr w:rsidR="001670EC" w:rsidRPr="00680D98" w:rsidTr="0031631C">
        <w:trPr>
          <w:trHeight w:val="240"/>
        </w:trPr>
        <w:tc>
          <w:tcPr>
            <w:tcW w:w="0" w:type="auto"/>
            <w:tcBorders>
              <w:top w:val="single" w:sz="4" w:space="0" w:color="auto"/>
              <w:left w:val="single" w:sz="8" w:space="0" w:color="auto"/>
              <w:bottom w:val="single" w:sz="4" w:space="0" w:color="auto"/>
              <w:right w:val="single" w:sz="8" w:space="0" w:color="auto"/>
            </w:tcBorders>
            <w:shd w:val="clear" w:color="000000" w:fill="FFFFFF"/>
            <w:noWrap/>
            <w:vAlign w:val="bottom"/>
          </w:tcPr>
          <w:p w:rsidR="001670EC" w:rsidRPr="00D212CC" w:rsidRDefault="001670EC" w:rsidP="00D212CC">
            <w:pPr>
              <w:spacing w:after="0" w:line="240" w:lineRule="auto"/>
              <w:jc w:val="center"/>
              <w:rPr>
                <w:b/>
                <w:bCs/>
                <w:color w:val="000000"/>
              </w:rPr>
            </w:pPr>
            <w:r w:rsidRPr="00D212CC">
              <w:rPr>
                <w:b/>
                <w:bCs/>
                <w:color w:val="000000"/>
              </w:rPr>
              <w:t>Prevention Agenda Indicators</w:t>
            </w:r>
          </w:p>
        </w:tc>
        <w:tc>
          <w:tcPr>
            <w:tcW w:w="0" w:type="auto"/>
            <w:gridSpan w:val="4"/>
            <w:tcBorders>
              <w:top w:val="single" w:sz="4" w:space="0" w:color="auto"/>
              <w:left w:val="nil"/>
              <w:bottom w:val="single" w:sz="4" w:space="0" w:color="auto"/>
              <w:right w:val="nil"/>
            </w:tcBorders>
            <w:vAlign w:val="bottom"/>
          </w:tcPr>
          <w:p w:rsidR="001670EC" w:rsidRPr="00D212CC" w:rsidRDefault="001670EC" w:rsidP="00D212CC">
            <w:pPr>
              <w:spacing w:after="0" w:line="240" w:lineRule="auto"/>
              <w:rPr>
                <w:color w:val="000000"/>
              </w:rPr>
            </w:pPr>
            <w:r w:rsidRPr="00D212CC">
              <w:rPr>
                <w:color w:val="000000"/>
              </w:rPr>
              <w:t> </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1. Percentage of Overall Premature Deaths (Ages 35 - 64),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22.6%</w:t>
            </w:r>
          </w:p>
        </w:tc>
      </w:tr>
      <w:tr w:rsidR="001670EC" w:rsidRPr="00680D98" w:rsidTr="0031631C">
        <w:trPr>
          <w:trHeight w:val="71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2. Ratio of Black, Non-Hispanic Premature Deaths (Ages 35 - 64) to White, Non-Hispanic Premature Deaths,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N/A</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3. Ratio of Hispanic/Latino Premature Deaths (Ages 35 - 64) to White, Non-Hispanic Premature Deaths,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N/A</w:t>
            </w:r>
          </w:p>
        </w:tc>
      </w:tr>
      <w:tr w:rsidR="001670EC" w:rsidRPr="00680D98" w:rsidTr="0031631C">
        <w:trPr>
          <w:trHeight w:val="71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4. Rate of Adult Age-Adjusted Preventable Hospitalizations per 100,000 Population (Ages 18 Plus),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161.6</w:t>
            </w:r>
          </w:p>
        </w:tc>
      </w:tr>
      <w:tr w:rsidR="001670EC" w:rsidRPr="00680D98" w:rsidTr="0031631C">
        <w:trPr>
          <w:trHeight w:val="71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5. Ratio of Black, Non-Hispanic Adult Age-Adjusted Preventable Hospitalizations to White, Non-Hispanic,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1.24</w:t>
            </w:r>
          </w:p>
        </w:tc>
      </w:tr>
      <w:tr w:rsidR="001670EC" w:rsidRPr="00680D98" w:rsidTr="0031631C">
        <w:trPr>
          <w:trHeight w:val="71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6. Ratio of Hispanic/Latino Adult Age-Adjusted Preventable Hospitalizations to White, Non-Hispanic,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N/A</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7. Percentage of Adults ( Ages 18 - 64) with Health Insurance, '08/09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84.4%</w:t>
            </w:r>
          </w:p>
        </w:tc>
      </w:tr>
      <w:tr w:rsidR="001670EC" w:rsidRPr="00680D98" w:rsidTr="0031631C">
        <w:trPr>
          <w:trHeight w:val="479"/>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8. Percentage of Adults with Regular Health Care Provider, '08/09</w:t>
            </w:r>
          </w:p>
        </w:tc>
        <w:tc>
          <w:tcPr>
            <w:tcW w:w="0" w:type="auto"/>
            <w:tcBorders>
              <w:top w:val="nil"/>
              <w:left w:val="nil"/>
              <w:bottom w:val="single" w:sz="4" w:space="0" w:color="auto"/>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auto"/>
              <w:right w:val="nil"/>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84.8%</w:t>
            </w:r>
          </w:p>
        </w:tc>
      </w:tr>
      <w:tr w:rsidR="001670EC" w:rsidRPr="00680D98" w:rsidTr="0031631C">
        <w:trPr>
          <w:trHeight w:val="249"/>
        </w:trPr>
        <w:tc>
          <w:tcPr>
            <w:tcW w:w="0" w:type="auto"/>
            <w:tcBorders>
              <w:top w:val="nil"/>
              <w:left w:val="single" w:sz="8" w:space="0" w:color="auto"/>
              <w:bottom w:val="single" w:sz="4" w:space="0" w:color="auto"/>
              <w:right w:val="single" w:sz="4" w:space="0" w:color="auto"/>
            </w:tcBorders>
            <w:shd w:val="clear" w:color="000000" w:fill="FFFFFF"/>
            <w:vAlign w:val="bottom"/>
          </w:tcPr>
          <w:p w:rsidR="001670EC" w:rsidRPr="00D212CC" w:rsidRDefault="001670EC" w:rsidP="00D212CC">
            <w:pPr>
              <w:spacing w:after="0" w:line="240" w:lineRule="auto"/>
              <w:jc w:val="center"/>
              <w:rPr>
                <w:b/>
                <w:bCs/>
                <w:color w:val="000000"/>
              </w:rPr>
            </w:pPr>
            <w:r w:rsidRPr="00D212CC">
              <w:rPr>
                <w:b/>
                <w:bCs/>
                <w:color w:val="000000"/>
              </w:rPr>
              <w:t>Other Disparity Indicators</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bottom"/>
          </w:tcPr>
          <w:p w:rsidR="001670EC" w:rsidRPr="00D212CC" w:rsidRDefault="001670EC" w:rsidP="00D212CC">
            <w:pPr>
              <w:spacing w:after="0" w:line="240" w:lineRule="auto"/>
              <w:rPr>
                <w:color w:val="000000"/>
              </w:rPr>
            </w:pPr>
            <w:r w:rsidRPr="00D212CC">
              <w:rPr>
                <w:color w:val="000000"/>
              </w:rPr>
              <w:t> </w:t>
            </w:r>
          </w:p>
        </w:tc>
      </w:tr>
      <w:tr w:rsidR="001670EC" w:rsidRPr="00680D98" w:rsidTr="0031631C">
        <w:trPr>
          <w:trHeight w:val="240"/>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1. Rate of Total Deaths per 100,000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567</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562</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561</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1,020.5</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2. Rate of Total Deaths per 100,000 Adjusted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567</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562</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561</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759.3</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3. Rate of Emergency Department Visits per 10,000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29,606</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28,970</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28,275</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5,244.3</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4. Rate of Emergency Department Visits per 10,000 Adjusted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29,606</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28,970</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28,275</w:t>
            </w:r>
          </w:p>
        </w:tc>
        <w:tc>
          <w:tcPr>
            <w:tcW w:w="0" w:type="auto"/>
            <w:tcBorders>
              <w:top w:val="nil"/>
              <w:left w:val="nil"/>
              <w:bottom w:val="single" w:sz="4" w:space="0" w:color="BFBFBF"/>
              <w:right w:val="single" w:sz="8" w:space="0" w:color="auto"/>
            </w:tcBorders>
            <w:shd w:val="clear" w:color="auto" w:fill="FFFF00"/>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5,380.5</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5. Rate of Total Hospital Discharges per 10,000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7,589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7,628</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8,033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1,403.9</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6. Rate of Total Hospital Discharges per 10,000 Adjusted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7,589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7,628</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8,033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1,298.4</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7. Percentage of Adults (18 and Older) Who Did Not Receive Care Due to Costs, '08/09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13.5%</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8. % of Adults (18 and Older) with Poor Physical Health, '08/09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12.7%</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9. % of Adults (18 and Older) with Physical Limitations, '08/09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24.3%</w:t>
            </w:r>
          </w:p>
        </w:tc>
      </w:tr>
      <w:tr w:rsidR="001670EC" w:rsidRPr="00680D98" w:rsidTr="0031631C">
        <w:trPr>
          <w:trHeight w:val="479"/>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10. % of Adults (18 and Older) with Health Problems that Need Special Equipment, '08/09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9.7%</w:t>
            </w:r>
          </w:p>
        </w:tc>
      </w:tr>
      <w:tr w:rsidR="001670EC" w:rsidRPr="00680D98" w:rsidTr="0031631C">
        <w:trPr>
          <w:trHeight w:val="479"/>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D212CC" w:rsidRDefault="001670EC" w:rsidP="00D212CC">
            <w:pPr>
              <w:spacing w:after="0" w:line="240" w:lineRule="auto"/>
              <w:rPr>
                <w:color w:val="000000"/>
                <w:sz w:val="18"/>
                <w:szCs w:val="18"/>
              </w:rPr>
            </w:pPr>
            <w:r w:rsidRPr="00D212CC">
              <w:rPr>
                <w:color w:val="000000"/>
                <w:sz w:val="18"/>
                <w:szCs w:val="18"/>
              </w:rPr>
              <w:t>11. Percentage of Adults (18 and Older) with Disabilities, '08/09</w:t>
            </w:r>
          </w:p>
        </w:tc>
        <w:tc>
          <w:tcPr>
            <w:tcW w:w="0" w:type="auto"/>
            <w:tcBorders>
              <w:top w:val="nil"/>
              <w:left w:val="nil"/>
              <w:bottom w:val="single" w:sz="4" w:space="0" w:color="auto"/>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D212CC" w:rsidRDefault="001670EC" w:rsidP="00D212CC">
            <w:pPr>
              <w:spacing w:after="0" w:line="240" w:lineRule="auto"/>
              <w:rPr>
                <w:color w:val="000000"/>
                <w:sz w:val="18"/>
                <w:szCs w:val="18"/>
              </w:rPr>
            </w:pPr>
            <w:r w:rsidRPr="00D212CC">
              <w:rPr>
                <w:color w:val="000000"/>
                <w:sz w:val="18"/>
                <w:szCs w:val="18"/>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D212CC" w:rsidRDefault="001670EC" w:rsidP="00D212CC">
            <w:pPr>
              <w:spacing w:after="0" w:line="240" w:lineRule="auto"/>
              <w:jc w:val="right"/>
              <w:rPr>
                <w:color w:val="000000"/>
                <w:sz w:val="18"/>
                <w:szCs w:val="18"/>
              </w:rPr>
            </w:pPr>
            <w:r w:rsidRPr="00D212CC">
              <w:rPr>
                <w:color w:val="000000"/>
                <w:sz w:val="18"/>
                <w:szCs w:val="18"/>
              </w:rPr>
              <w:t>26.4%</w:t>
            </w:r>
          </w:p>
        </w:tc>
      </w:tr>
    </w:tbl>
    <w:p w:rsidR="001670EC" w:rsidRDefault="001670EC" w:rsidP="009770AF"/>
    <w:tbl>
      <w:tblPr>
        <w:tblpPr w:leftFromText="180" w:rightFromText="180" w:vertAnchor="text" w:horzAnchor="margin" w:tblpY="-380"/>
        <w:tblW w:w="0" w:type="auto"/>
        <w:tblLook w:val="00A0"/>
      </w:tblPr>
      <w:tblGrid>
        <w:gridCol w:w="5155"/>
        <w:gridCol w:w="626"/>
        <w:gridCol w:w="626"/>
        <w:gridCol w:w="1171"/>
        <w:gridCol w:w="1998"/>
      </w:tblGrid>
      <w:tr w:rsidR="001670EC" w:rsidRPr="00680D98" w:rsidTr="0036619D">
        <w:trPr>
          <w:trHeight w:val="259"/>
        </w:trPr>
        <w:tc>
          <w:tcPr>
            <w:tcW w:w="5155" w:type="dxa"/>
            <w:tcBorders>
              <w:top w:val="nil"/>
              <w:left w:val="single" w:sz="8" w:space="0" w:color="auto"/>
              <w:bottom w:val="nil"/>
              <w:right w:val="single" w:sz="8" w:space="0" w:color="auto"/>
            </w:tcBorders>
            <w:shd w:val="clear" w:color="000000" w:fill="A5A5A5"/>
            <w:vAlign w:val="bottom"/>
          </w:tcPr>
          <w:p w:rsidR="001670EC" w:rsidRPr="00636A07" w:rsidRDefault="001670EC" w:rsidP="005368ED">
            <w:pPr>
              <w:spacing w:after="0" w:line="240" w:lineRule="auto"/>
              <w:jc w:val="center"/>
              <w:rPr>
                <w:b/>
                <w:bCs/>
                <w:color w:val="000000"/>
              </w:rPr>
            </w:pPr>
            <w:r w:rsidRPr="00636A07">
              <w:rPr>
                <w:b/>
                <w:bCs/>
                <w:color w:val="000000"/>
              </w:rPr>
              <w:t> </w:t>
            </w:r>
          </w:p>
        </w:tc>
        <w:tc>
          <w:tcPr>
            <w:tcW w:w="2423" w:type="dxa"/>
            <w:gridSpan w:val="3"/>
            <w:tcBorders>
              <w:top w:val="nil"/>
              <w:left w:val="nil"/>
              <w:bottom w:val="nil"/>
              <w:right w:val="single" w:sz="8" w:space="0" w:color="000000"/>
            </w:tcBorders>
            <w:shd w:val="clear" w:color="000000" w:fill="A5A5A5"/>
            <w:vAlign w:val="bottom"/>
          </w:tcPr>
          <w:p w:rsidR="001670EC" w:rsidRPr="00636A07" w:rsidRDefault="001670EC" w:rsidP="005368ED">
            <w:pPr>
              <w:spacing w:after="0" w:line="240" w:lineRule="auto"/>
              <w:jc w:val="center"/>
              <w:rPr>
                <w:b/>
                <w:bCs/>
                <w:color w:val="000000"/>
                <w:sz w:val="16"/>
                <w:szCs w:val="16"/>
              </w:rPr>
            </w:pPr>
            <w:r w:rsidRPr="00636A07">
              <w:rPr>
                <w:b/>
                <w:bCs/>
                <w:color w:val="000000"/>
                <w:sz w:val="16"/>
                <w:szCs w:val="16"/>
              </w:rPr>
              <w:t>Number Per Year</w:t>
            </w:r>
          </w:p>
        </w:tc>
        <w:tc>
          <w:tcPr>
            <w:tcW w:w="1998" w:type="dxa"/>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636A07" w:rsidRDefault="001670EC" w:rsidP="005368ED">
            <w:pPr>
              <w:spacing w:after="0" w:line="240" w:lineRule="auto"/>
              <w:jc w:val="center"/>
              <w:rPr>
                <w:b/>
                <w:bCs/>
                <w:color w:val="000000"/>
                <w:sz w:val="16"/>
                <w:szCs w:val="16"/>
              </w:rPr>
            </w:pPr>
            <w:r w:rsidRPr="00636A07">
              <w:rPr>
                <w:b/>
                <w:bCs/>
                <w:color w:val="000000"/>
                <w:sz w:val="16"/>
                <w:szCs w:val="16"/>
              </w:rPr>
              <w:t>Average Rate, Ratio or Percentage for the Listed Years</w:t>
            </w:r>
          </w:p>
        </w:tc>
      </w:tr>
      <w:tr w:rsidR="001670EC" w:rsidRPr="00680D98" w:rsidTr="0036619D">
        <w:trPr>
          <w:trHeight w:val="120"/>
        </w:trPr>
        <w:tc>
          <w:tcPr>
            <w:tcW w:w="5155" w:type="dxa"/>
            <w:tcBorders>
              <w:top w:val="nil"/>
              <w:left w:val="single" w:sz="8" w:space="0" w:color="auto"/>
              <w:bottom w:val="nil"/>
              <w:right w:val="single" w:sz="8" w:space="0" w:color="auto"/>
            </w:tcBorders>
            <w:shd w:val="clear" w:color="000000" w:fill="A5A5A5"/>
            <w:vAlign w:val="bottom"/>
          </w:tcPr>
          <w:p w:rsidR="001670EC" w:rsidRPr="00636A07" w:rsidRDefault="001670EC" w:rsidP="00210178">
            <w:pPr>
              <w:spacing w:after="0" w:line="240" w:lineRule="auto"/>
              <w:rPr>
                <w:b/>
                <w:bCs/>
                <w:color w:val="000000"/>
              </w:rPr>
            </w:pPr>
            <w:r w:rsidRPr="00636A07">
              <w:rPr>
                <w:b/>
                <w:bCs/>
                <w:color w:val="000000"/>
              </w:rPr>
              <w:t> </w:t>
            </w:r>
          </w:p>
        </w:tc>
        <w:tc>
          <w:tcPr>
            <w:tcW w:w="2423" w:type="dxa"/>
            <w:gridSpan w:val="3"/>
            <w:tcBorders>
              <w:top w:val="nil"/>
              <w:left w:val="nil"/>
              <w:bottom w:val="single" w:sz="4" w:space="0" w:color="auto"/>
              <w:right w:val="single" w:sz="8" w:space="0" w:color="000000"/>
            </w:tcBorders>
            <w:shd w:val="clear" w:color="000000" w:fill="A5A5A5"/>
            <w:vAlign w:val="bottom"/>
          </w:tcPr>
          <w:p w:rsidR="001670EC" w:rsidRPr="00636A07" w:rsidRDefault="001670EC" w:rsidP="005368ED">
            <w:pPr>
              <w:spacing w:after="0" w:line="240" w:lineRule="auto"/>
              <w:jc w:val="center"/>
              <w:rPr>
                <w:b/>
                <w:bCs/>
                <w:color w:val="000000"/>
                <w:sz w:val="16"/>
                <w:szCs w:val="16"/>
              </w:rPr>
            </w:pPr>
            <w:r w:rsidRPr="00636A07">
              <w:rPr>
                <w:b/>
                <w:bCs/>
                <w:color w:val="000000"/>
                <w:sz w:val="16"/>
                <w:szCs w:val="16"/>
              </w:rPr>
              <w:t>(If Available)</w:t>
            </w:r>
          </w:p>
        </w:tc>
        <w:tc>
          <w:tcPr>
            <w:tcW w:w="1998" w:type="dxa"/>
            <w:vMerge/>
            <w:tcBorders>
              <w:top w:val="single" w:sz="8" w:space="0" w:color="auto"/>
              <w:left w:val="single" w:sz="8" w:space="0" w:color="auto"/>
              <w:bottom w:val="single" w:sz="4" w:space="0" w:color="000000"/>
              <w:right w:val="single" w:sz="8" w:space="0" w:color="auto"/>
            </w:tcBorders>
            <w:vAlign w:val="center"/>
          </w:tcPr>
          <w:p w:rsidR="001670EC" w:rsidRPr="00636A07" w:rsidRDefault="001670EC" w:rsidP="005368ED">
            <w:pPr>
              <w:spacing w:after="0" w:line="240" w:lineRule="auto"/>
              <w:rPr>
                <w:b/>
                <w:bCs/>
                <w:color w:val="000000"/>
              </w:rPr>
            </w:pPr>
          </w:p>
        </w:tc>
      </w:tr>
      <w:tr w:rsidR="001670EC" w:rsidRPr="00680D98" w:rsidTr="0036619D">
        <w:trPr>
          <w:trHeight w:val="111"/>
        </w:trPr>
        <w:tc>
          <w:tcPr>
            <w:tcW w:w="5155" w:type="dxa"/>
            <w:tcBorders>
              <w:top w:val="nil"/>
              <w:left w:val="single" w:sz="8" w:space="0" w:color="auto"/>
              <w:bottom w:val="single" w:sz="4" w:space="0" w:color="auto"/>
              <w:right w:val="single" w:sz="8" w:space="0" w:color="auto"/>
            </w:tcBorders>
            <w:shd w:val="clear" w:color="000000" w:fill="A5A5A5"/>
            <w:vAlign w:val="bottom"/>
          </w:tcPr>
          <w:p w:rsidR="001670EC" w:rsidRPr="00636A07" w:rsidRDefault="001670EC" w:rsidP="005368ED">
            <w:pPr>
              <w:spacing w:after="0" w:line="240" w:lineRule="auto"/>
              <w:rPr>
                <w:color w:val="000000"/>
              </w:rPr>
            </w:pPr>
            <w:r w:rsidRPr="00636A07">
              <w:rPr>
                <w:color w:val="000000"/>
              </w:rPr>
              <w:t> </w:t>
            </w:r>
            <w:r w:rsidRPr="00636A07">
              <w:rPr>
                <w:b/>
                <w:bCs/>
                <w:color w:val="000000"/>
              </w:rPr>
              <w:t xml:space="preserve"> Focus Area: Injuries, Violence, and Occupational Health</w:t>
            </w:r>
          </w:p>
        </w:tc>
        <w:tc>
          <w:tcPr>
            <w:tcW w:w="626" w:type="dxa"/>
            <w:tcBorders>
              <w:top w:val="nil"/>
              <w:left w:val="nil"/>
              <w:bottom w:val="single" w:sz="4" w:space="0" w:color="auto"/>
              <w:right w:val="single" w:sz="4" w:space="0" w:color="auto"/>
            </w:tcBorders>
            <w:shd w:val="clear" w:color="000000" w:fill="A5A5A5"/>
            <w:noWrap/>
            <w:vAlign w:val="bottom"/>
          </w:tcPr>
          <w:p w:rsidR="001670EC" w:rsidRPr="00636A07" w:rsidRDefault="001670EC" w:rsidP="005368ED">
            <w:pPr>
              <w:spacing w:after="0" w:line="240" w:lineRule="auto"/>
              <w:jc w:val="center"/>
              <w:rPr>
                <w:b/>
                <w:bCs/>
                <w:color w:val="000000"/>
                <w:sz w:val="16"/>
                <w:szCs w:val="16"/>
              </w:rPr>
            </w:pPr>
            <w:r w:rsidRPr="00636A07">
              <w:rPr>
                <w:b/>
                <w:bCs/>
                <w:color w:val="000000"/>
                <w:sz w:val="16"/>
                <w:szCs w:val="16"/>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636A07" w:rsidRDefault="001670EC" w:rsidP="005368ED">
            <w:pPr>
              <w:spacing w:after="0" w:line="240" w:lineRule="auto"/>
              <w:jc w:val="center"/>
              <w:rPr>
                <w:b/>
                <w:bCs/>
                <w:color w:val="000000"/>
                <w:sz w:val="16"/>
                <w:szCs w:val="16"/>
              </w:rPr>
            </w:pPr>
            <w:r w:rsidRPr="00636A07">
              <w:rPr>
                <w:b/>
                <w:bCs/>
                <w:color w:val="000000"/>
                <w:sz w:val="16"/>
                <w:szCs w:val="16"/>
              </w:rPr>
              <w:t>Two</w:t>
            </w:r>
          </w:p>
        </w:tc>
        <w:tc>
          <w:tcPr>
            <w:tcW w:w="1171" w:type="dxa"/>
            <w:tcBorders>
              <w:top w:val="nil"/>
              <w:left w:val="nil"/>
              <w:bottom w:val="single" w:sz="4" w:space="0" w:color="auto"/>
              <w:right w:val="single" w:sz="8" w:space="0" w:color="auto"/>
            </w:tcBorders>
            <w:shd w:val="clear" w:color="000000" w:fill="A5A5A5"/>
            <w:noWrap/>
            <w:vAlign w:val="bottom"/>
          </w:tcPr>
          <w:p w:rsidR="001670EC" w:rsidRPr="00636A07" w:rsidRDefault="001670EC" w:rsidP="005368ED">
            <w:pPr>
              <w:spacing w:after="0" w:line="240" w:lineRule="auto"/>
              <w:jc w:val="center"/>
              <w:rPr>
                <w:b/>
                <w:bCs/>
                <w:color w:val="000000"/>
                <w:sz w:val="16"/>
                <w:szCs w:val="16"/>
              </w:rPr>
            </w:pPr>
            <w:r w:rsidRPr="00636A07">
              <w:rPr>
                <w:b/>
                <w:bCs/>
                <w:color w:val="000000"/>
                <w:sz w:val="16"/>
                <w:szCs w:val="16"/>
              </w:rPr>
              <w:t>Three</w:t>
            </w:r>
          </w:p>
        </w:tc>
        <w:tc>
          <w:tcPr>
            <w:tcW w:w="1998" w:type="dxa"/>
            <w:vMerge/>
            <w:tcBorders>
              <w:top w:val="single" w:sz="8" w:space="0" w:color="auto"/>
              <w:left w:val="single" w:sz="8" w:space="0" w:color="auto"/>
              <w:bottom w:val="single" w:sz="4" w:space="0" w:color="000000"/>
              <w:right w:val="single" w:sz="8" w:space="0" w:color="auto"/>
            </w:tcBorders>
            <w:vAlign w:val="center"/>
          </w:tcPr>
          <w:p w:rsidR="001670EC" w:rsidRPr="00636A07" w:rsidRDefault="001670EC" w:rsidP="005368ED">
            <w:pPr>
              <w:spacing w:after="0" w:line="240" w:lineRule="auto"/>
              <w:rPr>
                <w:b/>
                <w:bCs/>
                <w:color w:val="000000"/>
              </w:rPr>
            </w:pPr>
          </w:p>
        </w:tc>
      </w:tr>
      <w:tr w:rsidR="001670EC" w:rsidRPr="00680D98" w:rsidTr="0036619D">
        <w:trPr>
          <w:trHeight w:val="111"/>
        </w:trPr>
        <w:tc>
          <w:tcPr>
            <w:tcW w:w="5155" w:type="dxa"/>
            <w:tcBorders>
              <w:top w:val="single" w:sz="4" w:space="0" w:color="auto"/>
              <w:left w:val="single" w:sz="8" w:space="0" w:color="auto"/>
              <w:bottom w:val="single" w:sz="4" w:space="0" w:color="auto"/>
              <w:right w:val="single" w:sz="8" w:space="0" w:color="auto"/>
            </w:tcBorders>
            <w:shd w:val="clear" w:color="000000" w:fill="FFFFFF"/>
            <w:vAlign w:val="bottom"/>
          </w:tcPr>
          <w:p w:rsidR="001670EC" w:rsidRPr="00636A07" w:rsidRDefault="001670EC" w:rsidP="005368ED">
            <w:pPr>
              <w:spacing w:after="0" w:line="240" w:lineRule="auto"/>
              <w:jc w:val="center"/>
              <w:rPr>
                <w:b/>
                <w:bCs/>
                <w:color w:val="000000"/>
                <w:sz w:val="18"/>
                <w:szCs w:val="18"/>
              </w:rPr>
            </w:pPr>
            <w:r w:rsidRPr="00636A07">
              <w:rPr>
                <w:b/>
                <w:bCs/>
                <w:color w:val="000000"/>
                <w:sz w:val="18"/>
                <w:szCs w:val="18"/>
              </w:rPr>
              <w:t>Prevention Agenda Indicators</w:t>
            </w:r>
          </w:p>
        </w:tc>
        <w:tc>
          <w:tcPr>
            <w:tcW w:w="4421" w:type="dxa"/>
            <w:gridSpan w:val="4"/>
            <w:tcBorders>
              <w:top w:val="single" w:sz="4" w:space="0" w:color="auto"/>
              <w:left w:val="nil"/>
              <w:bottom w:val="single" w:sz="4" w:space="0" w:color="auto"/>
              <w:right w:val="nil"/>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r>
      <w:tr w:rsidR="001670EC" w:rsidRPr="00680D98" w:rsidTr="0036619D">
        <w:trPr>
          <w:trHeight w:val="222"/>
        </w:trPr>
        <w:tc>
          <w:tcPr>
            <w:tcW w:w="5155" w:type="dxa"/>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 xml:space="preserve">1. Rate of Hospitalizations due to Falls for Ages 65 Plus per 10,000 Population, '08 - 10 </w:t>
            </w:r>
          </w:p>
        </w:tc>
        <w:tc>
          <w:tcPr>
            <w:tcW w:w="626" w:type="dxa"/>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197</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167</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176</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205.3</w:t>
            </w:r>
          </w:p>
        </w:tc>
      </w:tr>
      <w:tr w:rsidR="001670EC" w:rsidRPr="00680D98" w:rsidTr="0036619D">
        <w:trPr>
          <w:trHeight w:val="222"/>
        </w:trPr>
        <w:tc>
          <w:tcPr>
            <w:tcW w:w="5155" w:type="dxa"/>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2. Rate of ED Visits due to Falls for Children Ages 1 - 4 per 10,000 Population Children Ages 1 - 4, '08 - 10</w:t>
            </w:r>
          </w:p>
        </w:tc>
        <w:tc>
          <w:tcPr>
            <w:tcW w:w="626" w:type="dxa"/>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auto" w:fill="FFFF00"/>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782.9</w:t>
            </w:r>
          </w:p>
        </w:tc>
      </w:tr>
      <w:tr w:rsidR="001670EC" w:rsidRPr="00680D98" w:rsidTr="0036619D">
        <w:trPr>
          <w:trHeight w:val="222"/>
        </w:trPr>
        <w:tc>
          <w:tcPr>
            <w:tcW w:w="5155" w:type="dxa"/>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3. Rate of Assault-Related Hospitalizations per 10,000 Population, '08 - 10</w:t>
            </w:r>
          </w:p>
        </w:tc>
        <w:tc>
          <w:tcPr>
            <w:tcW w:w="626" w:type="dxa"/>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12</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12</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2.1</w:t>
            </w:r>
          </w:p>
        </w:tc>
      </w:tr>
      <w:tr w:rsidR="001670EC" w:rsidRPr="00680D98" w:rsidTr="0036619D">
        <w:trPr>
          <w:trHeight w:val="332"/>
        </w:trPr>
        <w:tc>
          <w:tcPr>
            <w:tcW w:w="5155" w:type="dxa"/>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4. Ratio of Black, Non-Hispanic Assault-Related Hospitalizations to White, Non-Hispanic Assault Related Hospitalizations, '08 - 10</w:t>
            </w:r>
          </w:p>
        </w:tc>
        <w:tc>
          <w:tcPr>
            <w:tcW w:w="626" w:type="dxa"/>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N/A</w:t>
            </w:r>
          </w:p>
        </w:tc>
      </w:tr>
      <w:tr w:rsidR="001670EC" w:rsidRPr="00680D98" w:rsidTr="0036619D">
        <w:trPr>
          <w:trHeight w:val="332"/>
        </w:trPr>
        <w:tc>
          <w:tcPr>
            <w:tcW w:w="5155" w:type="dxa"/>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5. Ratio of Hispanic/Latino Assault-Related Hospitalizations to White, Non-Hispanic Assault Related Hospitalizations, '08 - 10</w:t>
            </w:r>
          </w:p>
        </w:tc>
        <w:tc>
          <w:tcPr>
            <w:tcW w:w="626" w:type="dxa"/>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N/A</w:t>
            </w:r>
          </w:p>
        </w:tc>
      </w:tr>
      <w:tr w:rsidR="001670EC" w:rsidRPr="00680D98" w:rsidTr="0036619D">
        <w:trPr>
          <w:trHeight w:val="222"/>
        </w:trPr>
        <w:tc>
          <w:tcPr>
            <w:tcW w:w="5155" w:type="dxa"/>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6. Ratio of Assault-Related Hospitalizations for Low-Income versus non-Low Income Zip Codes, '08 - 10</w:t>
            </w:r>
          </w:p>
        </w:tc>
        <w:tc>
          <w:tcPr>
            <w:tcW w:w="626" w:type="dxa"/>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N/A</w:t>
            </w:r>
          </w:p>
        </w:tc>
      </w:tr>
      <w:tr w:rsidR="001670EC" w:rsidRPr="00680D98" w:rsidTr="0036619D">
        <w:trPr>
          <w:trHeight w:val="332"/>
        </w:trPr>
        <w:tc>
          <w:tcPr>
            <w:tcW w:w="5155" w:type="dxa"/>
            <w:tcBorders>
              <w:top w:val="nil"/>
              <w:left w:val="single" w:sz="8" w:space="0" w:color="auto"/>
              <w:bottom w:val="single" w:sz="4" w:space="0" w:color="auto"/>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7. Rate of ED Occupatio</w:t>
            </w:r>
            <w:r>
              <w:rPr>
                <w:color w:val="000000"/>
                <w:sz w:val="18"/>
                <w:szCs w:val="18"/>
              </w:rPr>
              <w:t>nal Injuries Among Working Adole</w:t>
            </w:r>
            <w:r w:rsidRPr="00636A07">
              <w:rPr>
                <w:color w:val="000000"/>
                <w:sz w:val="18"/>
                <w:szCs w:val="18"/>
              </w:rPr>
              <w:t>scents Ages 15 - 19 per 10,000 Population Ages 15 - 19, '08 - 10</w:t>
            </w:r>
          </w:p>
        </w:tc>
        <w:tc>
          <w:tcPr>
            <w:tcW w:w="626" w:type="dxa"/>
            <w:tcBorders>
              <w:top w:val="nil"/>
              <w:left w:val="nil"/>
              <w:bottom w:val="single" w:sz="4" w:space="0" w:color="auto"/>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auto"/>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auto"/>
              <w:right w:val="single" w:sz="8" w:space="0" w:color="auto"/>
            </w:tcBorders>
            <w:shd w:val="clear" w:color="auto" w:fill="FFFF00"/>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87.6</w:t>
            </w:r>
          </w:p>
        </w:tc>
      </w:tr>
      <w:tr w:rsidR="001670EC" w:rsidRPr="00680D98" w:rsidTr="0031631C">
        <w:trPr>
          <w:trHeight w:val="115"/>
        </w:trPr>
        <w:tc>
          <w:tcPr>
            <w:tcW w:w="0" w:type="auto"/>
            <w:gridSpan w:val="5"/>
            <w:tcBorders>
              <w:top w:val="single" w:sz="4" w:space="0" w:color="auto"/>
              <w:left w:val="single" w:sz="4" w:space="0" w:color="auto"/>
              <w:bottom w:val="single" w:sz="4" w:space="0" w:color="auto"/>
              <w:right w:val="single" w:sz="4" w:space="0" w:color="auto"/>
            </w:tcBorders>
            <w:shd w:val="clear" w:color="000000" w:fill="BFBFBF"/>
            <w:vAlign w:val="bottom"/>
          </w:tcPr>
          <w:p w:rsidR="001670EC" w:rsidRPr="00636A07" w:rsidRDefault="001670EC" w:rsidP="005368ED">
            <w:pPr>
              <w:spacing w:after="0" w:line="240" w:lineRule="auto"/>
              <w:jc w:val="center"/>
              <w:rPr>
                <w:b/>
                <w:bCs/>
                <w:color w:val="000000"/>
                <w:sz w:val="18"/>
                <w:szCs w:val="18"/>
              </w:rPr>
            </w:pPr>
            <w:r w:rsidRPr="00636A07">
              <w:rPr>
                <w:b/>
                <w:bCs/>
                <w:color w:val="000000"/>
                <w:sz w:val="18"/>
                <w:szCs w:val="18"/>
              </w:rPr>
              <w:t>Prevention Agenda Indicators</w:t>
            </w:r>
          </w:p>
        </w:tc>
      </w:tr>
      <w:tr w:rsidR="001670EC" w:rsidRPr="00680D98" w:rsidTr="0031631C">
        <w:trPr>
          <w:trHeight w:val="115"/>
        </w:trPr>
        <w:tc>
          <w:tcPr>
            <w:tcW w:w="0" w:type="auto"/>
            <w:tcBorders>
              <w:top w:val="single" w:sz="4" w:space="0" w:color="auto"/>
              <w:left w:val="single" w:sz="8" w:space="0" w:color="auto"/>
              <w:bottom w:val="single" w:sz="4" w:space="0" w:color="auto"/>
              <w:right w:val="single" w:sz="4" w:space="0" w:color="auto"/>
            </w:tcBorders>
            <w:shd w:val="clear" w:color="000000" w:fill="FFFFFF"/>
            <w:vAlign w:val="bottom"/>
          </w:tcPr>
          <w:p w:rsidR="001670EC" w:rsidRPr="00636A07" w:rsidRDefault="001670EC" w:rsidP="005368ED">
            <w:pPr>
              <w:spacing w:after="0" w:line="240" w:lineRule="auto"/>
              <w:jc w:val="center"/>
              <w:rPr>
                <w:b/>
                <w:bCs/>
                <w:color w:val="000000"/>
                <w:sz w:val="18"/>
                <w:szCs w:val="18"/>
              </w:rPr>
            </w:pPr>
            <w:r w:rsidRPr="00636A07">
              <w:rPr>
                <w:b/>
                <w:bCs/>
                <w:color w:val="000000"/>
                <w:sz w:val="18"/>
                <w:szCs w:val="18"/>
              </w:rPr>
              <w:t>Other Indicators</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 Rate of Hospitalizations for Falls for Children Ages Under 10 per 10,000 Population Children Ages Under 10 ,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8.8</w:t>
            </w: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2. Rate of Hospitalizations for Falls for Children Ages 10 - 14 per 10,000 Population Children Ages 10 - 14,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3</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0</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7.7</w:t>
            </w: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3. Rate of Hospitalizations for Falls for Individuals Ages 15 - 24 per 10,000 Population Individuals Ages 15 - 24,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6.2</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4. Rate of Hospitalizations for Falls for Adults Ages 25 - 64 per 10,000 Population Adults Ages 25 - 64,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64</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73</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64</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22.4</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5. Rate of Violent Crimes per 100,000 Population, '07 - 11</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190.2</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6. Rate of Property Crimes per 100,000 Population, '07 - 11</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2,677.4</w:t>
            </w:r>
          </w:p>
        </w:tc>
      </w:tr>
      <w:tr w:rsidR="001670EC" w:rsidRPr="00680D98" w:rsidTr="0036619D">
        <w:trPr>
          <w:trHeight w:val="111"/>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7. Rate of Total Crimes per 100,000 Population, '07 - 11</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2,869.4</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8. Rate of Malignant Mesothelioma Cases, Ages 15 Plus, per 100,000 Population Ages 15 Plus, '07 - 09</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rPr>
                <w:color w:val="000000"/>
                <w:sz w:val="18"/>
                <w:szCs w:val="18"/>
              </w:rPr>
            </w:pPr>
            <w:r w:rsidRPr="00636A07">
              <w:rPr>
                <w:color w:val="000000"/>
                <w:sz w:val="18"/>
                <w:szCs w:val="18"/>
              </w:rPr>
              <w:t> </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0.7</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9. Rate of Pneumonconsis Hospitalizations, Ages 15 Plus, per 10,000 Population Ages 15 Plus,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12</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3</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1.5</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10. Rate of Asbestosis Hospitalizations, Ages 15 Plus, per 10,000 Population Ages 15 Plus,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13</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13</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2.3</w:t>
            </w: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11. Rate of Work-Related Hospitalizations, Employed Ages 16 Plus per 10,000 Individuals Employed Ages 16 Plus,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33</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76</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70</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24.0</w:t>
            </w: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12. Rate of Elevated Blood Lead Levels Ages 16 Plus Employed per 10,000 Individuals Employed Ages 16 Plus,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9</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12</w:t>
            </w:r>
          </w:p>
        </w:tc>
        <w:tc>
          <w:tcPr>
            <w:tcW w:w="1998" w:type="dxa"/>
            <w:tcBorders>
              <w:top w:val="nil"/>
              <w:left w:val="nil"/>
              <w:bottom w:val="single" w:sz="4" w:space="0" w:color="BFBFBF"/>
              <w:right w:val="single" w:sz="8" w:space="0" w:color="auto"/>
            </w:tcBorders>
            <w:shd w:val="clear" w:color="auto" w:fill="FFFF00"/>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4.0</w:t>
            </w:r>
          </w:p>
        </w:tc>
      </w:tr>
      <w:tr w:rsidR="001670EC" w:rsidRPr="00680D98" w:rsidTr="0036619D">
        <w:trPr>
          <w:trHeight w:val="222"/>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13. Rate of Total Motor Vehicle Crashes per 100,000 Population, '09 - 11</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1,072</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1,000</w:t>
            </w:r>
          </w:p>
        </w:tc>
        <w:tc>
          <w:tcPr>
            <w:tcW w:w="1171"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898</w:t>
            </w:r>
          </w:p>
        </w:tc>
        <w:tc>
          <w:tcPr>
            <w:tcW w:w="1998" w:type="dxa"/>
            <w:tcBorders>
              <w:top w:val="nil"/>
              <w:left w:val="nil"/>
              <w:bottom w:val="single" w:sz="4" w:space="0" w:color="D8D8D8"/>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1,782.8</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14. Rate of Pedestrian-Related Accidents per 100,000 Population, '09 - 11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15</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24</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36.0</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15. Rate of Speed-Related Accidents per 100,000 Population, '09 - 11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122</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111</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134</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220.3</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16. Rate of Motor Vehicle Accident Deaths per 100,000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4</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10.3</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17. Rate of TBI Hospitalizations per 10,000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64</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57</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58</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10.8</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18. Rate of Unintentional Injury Hospitalizations per 10,000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467</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456</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446</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82.7</w:t>
            </w: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19. Rate of Unintentional Injury Hospitalizations Ages 14 and Under per 10,000 Population Ages 14 and Under ,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25</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28</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27</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27.9</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20. Rate of Unintentional Injury Hospitalizations Ages 65 Plus per 10,000 Population Ages 65 Plus,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255</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219</w:t>
            </w:r>
          </w:p>
        </w:tc>
        <w:tc>
          <w:tcPr>
            <w:tcW w:w="1171"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219</w:t>
            </w:r>
          </w:p>
        </w:tc>
        <w:tc>
          <w:tcPr>
            <w:tcW w:w="1998" w:type="dxa"/>
            <w:tcBorders>
              <w:top w:val="nil"/>
              <w:left w:val="nil"/>
              <w:bottom w:val="single" w:sz="4" w:space="0" w:color="BFBFBF"/>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263.5</w:t>
            </w:r>
          </w:p>
        </w:tc>
      </w:tr>
      <w:tr w:rsidR="001670EC" w:rsidRPr="00680D98" w:rsidTr="0036619D">
        <w:trPr>
          <w:trHeight w:val="222"/>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636A07" w:rsidRDefault="001670EC" w:rsidP="005368ED">
            <w:pPr>
              <w:spacing w:after="0" w:line="240" w:lineRule="auto"/>
              <w:rPr>
                <w:color w:val="000000"/>
                <w:sz w:val="18"/>
                <w:szCs w:val="18"/>
              </w:rPr>
            </w:pPr>
            <w:r w:rsidRPr="00636A07">
              <w:rPr>
                <w:color w:val="000000"/>
                <w:sz w:val="18"/>
                <w:szCs w:val="18"/>
              </w:rPr>
              <w:t>21. Rate of</w:t>
            </w:r>
            <w:r>
              <w:rPr>
                <w:color w:val="000000"/>
                <w:sz w:val="18"/>
                <w:szCs w:val="18"/>
              </w:rPr>
              <w:t xml:space="preserve"> Poisoning Hospitalizations /</w:t>
            </w:r>
            <w:r w:rsidRPr="00636A07">
              <w:rPr>
                <w:color w:val="000000"/>
                <w:sz w:val="18"/>
                <w:szCs w:val="18"/>
              </w:rPr>
              <w:t xml:space="preserve">10,000 Population, '08 - </w:t>
            </w:r>
            <w:r>
              <w:rPr>
                <w:color w:val="000000"/>
                <w:sz w:val="18"/>
                <w:szCs w:val="18"/>
              </w:rPr>
              <w:t>1</w:t>
            </w:r>
            <w:r w:rsidRPr="00636A07">
              <w:rPr>
                <w:color w:val="000000"/>
                <w:sz w:val="18"/>
                <w:szCs w:val="18"/>
              </w:rPr>
              <w:t>0</w:t>
            </w:r>
          </w:p>
        </w:tc>
        <w:tc>
          <w:tcPr>
            <w:tcW w:w="0" w:type="auto"/>
            <w:tcBorders>
              <w:top w:val="nil"/>
              <w:left w:val="nil"/>
              <w:bottom w:val="single" w:sz="4" w:space="0" w:color="auto"/>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71</w:t>
            </w:r>
          </w:p>
        </w:tc>
        <w:tc>
          <w:tcPr>
            <w:tcW w:w="0" w:type="auto"/>
            <w:tcBorders>
              <w:top w:val="nil"/>
              <w:left w:val="nil"/>
              <w:bottom w:val="single" w:sz="4" w:space="0" w:color="auto"/>
              <w:right w:val="single" w:sz="4"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61</w:t>
            </w:r>
          </w:p>
        </w:tc>
        <w:tc>
          <w:tcPr>
            <w:tcW w:w="1171" w:type="dxa"/>
            <w:tcBorders>
              <w:top w:val="nil"/>
              <w:left w:val="nil"/>
              <w:bottom w:val="single" w:sz="4" w:space="0" w:color="auto"/>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85</w:t>
            </w:r>
          </w:p>
        </w:tc>
        <w:tc>
          <w:tcPr>
            <w:tcW w:w="1998" w:type="dxa"/>
            <w:tcBorders>
              <w:top w:val="nil"/>
              <w:left w:val="nil"/>
              <w:bottom w:val="single" w:sz="4" w:space="0" w:color="auto"/>
              <w:right w:val="single" w:sz="8" w:space="0" w:color="auto"/>
            </w:tcBorders>
            <w:shd w:val="clear" w:color="000000" w:fill="FFFFFF"/>
            <w:noWrap/>
            <w:vAlign w:val="bottom"/>
          </w:tcPr>
          <w:p w:rsidR="001670EC" w:rsidRPr="00636A07" w:rsidRDefault="001670EC" w:rsidP="005368ED">
            <w:pPr>
              <w:spacing w:after="0" w:line="240" w:lineRule="auto"/>
              <w:jc w:val="right"/>
              <w:rPr>
                <w:color w:val="000000"/>
                <w:sz w:val="18"/>
                <w:szCs w:val="18"/>
              </w:rPr>
            </w:pPr>
            <w:r w:rsidRPr="00636A07">
              <w:rPr>
                <w:color w:val="000000"/>
                <w:sz w:val="18"/>
                <w:szCs w:val="18"/>
              </w:rPr>
              <w:t>13.1</w:t>
            </w:r>
          </w:p>
        </w:tc>
      </w:tr>
      <w:tr w:rsidR="001670EC" w:rsidRPr="00680D98" w:rsidTr="0036619D">
        <w:trPr>
          <w:trHeight w:val="115"/>
        </w:trPr>
        <w:tc>
          <w:tcPr>
            <w:tcW w:w="0" w:type="auto"/>
            <w:tcBorders>
              <w:top w:val="nil"/>
              <w:left w:val="nil"/>
              <w:bottom w:val="single" w:sz="8" w:space="0" w:color="auto"/>
              <w:right w:val="nil"/>
            </w:tcBorders>
            <w:shd w:val="clear" w:color="000000" w:fill="FFFFFF"/>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0" w:type="auto"/>
            <w:tcBorders>
              <w:top w:val="nil"/>
              <w:left w:val="nil"/>
              <w:bottom w:val="single" w:sz="8"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0" w:type="auto"/>
            <w:tcBorders>
              <w:top w:val="nil"/>
              <w:left w:val="nil"/>
              <w:bottom w:val="single" w:sz="8"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171" w:type="dxa"/>
            <w:tcBorders>
              <w:top w:val="nil"/>
              <w:left w:val="nil"/>
              <w:bottom w:val="single" w:sz="8"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998" w:type="dxa"/>
            <w:tcBorders>
              <w:top w:val="nil"/>
              <w:left w:val="nil"/>
              <w:bottom w:val="single" w:sz="8"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r>
      <w:tr w:rsidR="001670EC" w:rsidRPr="00680D98" w:rsidTr="0036619D">
        <w:trPr>
          <w:trHeight w:val="120"/>
        </w:trPr>
        <w:tc>
          <w:tcPr>
            <w:tcW w:w="0" w:type="auto"/>
            <w:tcBorders>
              <w:top w:val="nil"/>
              <w:left w:val="single" w:sz="8" w:space="0" w:color="auto"/>
              <w:bottom w:val="nil"/>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2423" w:type="dxa"/>
            <w:gridSpan w:val="3"/>
            <w:tcBorders>
              <w:top w:val="nil"/>
              <w:left w:val="nil"/>
              <w:bottom w:val="nil"/>
              <w:right w:val="single" w:sz="8" w:space="0" w:color="000000"/>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Number Per Year</w:t>
            </w:r>
          </w:p>
        </w:tc>
        <w:tc>
          <w:tcPr>
            <w:tcW w:w="1998" w:type="dxa"/>
            <w:vMerge w:val="restart"/>
            <w:tcBorders>
              <w:top w:val="nil"/>
              <w:left w:val="single" w:sz="8" w:space="0" w:color="auto"/>
              <w:bottom w:val="single" w:sz="4" w:space="0" w:color="000000"/>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Average Rate, Ratio or Percentage for the Listed Years</w:t>
            </w:r>
          </w:p>
        </w:tc>
      </w:tr>
      <w:tr w:rsidR="001670EC" w:rsidRPr="00680D98" w:rsidTr="0036619D">
        <w:trPr>
          <w:trHeight w:val="120"/>
        </w:trPr>
        <w:tc>
          <w:tcPr>
            <w:tcW w:w="0" w:type="auto"/>
            <w:tcBorders>
              <w:top w:val="nil"/>
              <w:left w:val="single" w:sz="8" w:space="0" w:color="auto"/>
              <w:bottom w:val="nil"/>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2423" w:type="dxa"/>
            <w:gridSpan w:val="3"/>
            <w:tcBorders>
              <w:top w:val="nil"/>
              <w:left w:val="nil"/>
              <w:bottom w:val="single" w:sz="4" w:space="0" w:color="auto"/>
              <w:right w:val="single" w:sz="8" w:space="0" w:color="000000"/>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(If Available)</w:t>
            </w:r>
          </w:p>
        </w:tc>
        <w:tc>
          <w:tcPr>
            <w:tcW w:w="1998" w:type="dxa"/>
            <w:vMerge/>
            <w:tcBorders>
              <w:top w:val="nil"/>
              <w:left w:val="single" w:sz="8" w:space="0" w:color="auto"/>
              <w:bottom w:val="single" w:sz="4" w:space="0" w:color="000000"/>
              <w:right w:val="single" w:sz="8" w:space="0" w:color="auto"/>
            </w:tcBorders>
            <w:vAlign w:val="center"/>
          </w:tcPr>
          <w:p w:rsidR="001670EC" w:rsidRPr="0013240B" w:rsidRDefault="001670EC" w:rsidP="005368ED">
            <w:pPr>
              <w:spacing w:after="0" w:line="240" w:lineRule="auto"/>
              <w:rPr>
                <w:b/>
                <w:bCs/>
                <w:color w:val="000000"/>
              </w:rPr>
            </w:pPr>
          </w:p>
        </w:tc>
      </w:tr>
      <w:tr w:rsidR="001670EC" w:rsidRPr="00680D98" w:rsidTr="0036619D">
        <w:trPr>
          <w:trHeight w:val="115"/>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13240B" w:rsidRDefault="001670EC" w:rsidP="005368ED">
            <w:pPr>
              <w:spacing w:after="0" w:line="240" w:lineRule="auto"/>
              <w:rPr>
                <w:color w:val="000000"/>
              </w:rPr>
            </w:pPr>
            <w:r w:rsidRPr="0013240B">
              <w:rPr>
                <w:color w:val="000000"/>
              </w:rPr>
              <w:t> </w:t>
            </w:r>
            <w:r w:rsidRPr="0013240B">
              <w:rPr>
                <w:b/>
                <w:bCs/>
                <w:color w:val="000000"/>
              </w:rPr>
              <w:t xml:space="preserve"> Focus Area: Outdoor Air Quality</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Two</w:t>
            </w:r>
          </w:p>
        </w:tc>
        <w:tc>
          <w:tcPr>
            <w:tcW w:w="1171" w:type="dxa"/>
            <w:tcBorders>
              <w:top w:val="nil"/>
              <w:left w:val="nil"/>
              <w:bottom w:val="single" w:sz="4" w:space="0" w:color="auto"/>
              <w:right w:val="single" w:sz="8"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Three</w:t>
            </w:r>
          </w:p>
        </w:tc>
        <w:tc>
          <w:tcPr>
            <w:tcW w:w="1998" w:type="dxa"/>
            <w:vMerge/>
            <w:tcBorders>
              <w:top w:val="nil"/>
              <w:left w:val="single" w:sz="8" w:space="0" w:color="auto"/>
              <w:bottom w:val="single" w:sz="4" w:space="0" w:color="000000"/>
              <w:right w:val="single" w:sz="8" w:space="0" w:color="auto"/>
            </w:tcBorders>
            <w:vAlign w:val="center"/>
          </w:tcPr>
          <w:p w:rsidR="001670EC" w:rsidRPr="0013240B" w:rsidRDefault="001670EC" w:rsidP="005368ED">
            <w:pPr>
              <w:spacing w:after="0" w:line="240" w:lineRule="auto"/>
              <w:rPr>
                <w:b/>
                <w:bCs/>
                <w:color w:val="000000"/>
              </w:rPr>
            </w:pPr>
          </w:p>
        </w:tc>
      </w:tr>
      <w:tr w:rsidR="001670EC" w:rsidRPr="00680D98" w:rsidTr="0036619D">
        <w:trPr>
          <w:trHeight w:val="111"/>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1. Number of Days with Unhealthy Ozone, 2007</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single" w:sz="4" w:space="0" w:color="BFBFBF"/>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0</w:t>
            </w:r>
          </w:p>
        </w:tc>
      </w:tr>
      <w:tr w:rsidR="001670EC" w:rsidRPr="00680D98" w:rsidTr="0036619D">
        <w:trPr>
          <w:trHeight w:val="222"/>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2. Number of Days with Unhealthy Particulate Matter, 2007</w:t>
            </w:r>
          </w:p>
        </w:tc>
        <w:tc>
          <w:tcPr>
            <w:tcW w:w="0" w:type="auto"/>
            <w:tcBorders>
              <w:top w:val="nil"/>
              <w:left w:val="nil"/>
              <w:bottom w:val="single" w:sz="4" w:space="0" w:color="auto"/>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single" w:sz="4" w:space="0" w:color="auto"/>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single" w:sz="4" w:space="0" w:color="auto"/>
              <w:right w:val="single" w:sz="8" w:space="0" w:color="auto"/>
            </w:tcBorders>
            <w:shd w:val="clear" w:color="000000" w:fill="FFFFFF"/>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0</w:t>
            </w:r>
          </w:p>
        </w:tc>
      </w:tr>
      <w:tr w:rsidR="001670EC" w:rsidRPr="00680D98" w:rsidTr="0031631C">
        <w:trPr>
          <w:trHeight w:val="115"/>
        </w:trPr>
        <w:tc>
          <w:tcPr>
            <w:tcW w:w="0" w:type="auto"/>
            <w:gridSpan w:val="5"/>
            <w:tcBorders>
              <w:top w:val="single" w:sz="4" w:space="0" w:color="auto"/>
              <w:left w:val="single" w:sz="8" w:space="0" w:color="auto"/>
              <w:bottom w:val="double" w:sz="6" w:space="0" w:color="auto"/>
              <w:right w:val="nil"/>
            </w:tcBorders>
            <w:shd w:val="clear" w:color="000000" w:fill="BFBFBF"/>
            <w:vAlign w:val="bottom"/>
          </w:tcPr>
          <w:p w:rsidR="001670EC" w:rsidRPr="0013240B" w:rsidRDefault="001670EC" w:rsidP="005368ED">
            <w:pPr>
              <w:spacing w:after="0" w:line="240" w:lineRule="auto"/>
              <w:jc w:val="center"/>
              <w:rPr>
                <w:b/>
                <w:bCs/>
                <w:color w:val="000000"/>
              </w:rPr>
            </w:pPr>
          </w:p>
        </w:tc>
      </w:tr>
      <w:tr w:rsidR="001670EC" w:rsidRPr="00680D98" w:rsidTr="0036619D">
        <w:trPr>
          <w:trHeight w:val="120"/>
        </w:trPr>
        <w:tc>
          <w:tcPr>
            <w:tcW w:w="0" w:type="auto"/>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0" w:type="auto"/>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0" w:type="auto"/>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171" w:type="dxa"/>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998" w:type="dxa"/>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r>
      <w:tr w:rsidR="001670EC" w:rsidRPr="00680D98" w:rsidTr="0036619D">
        <w:trPr>
          <w:trHeight w:val="125"/>
        </w:trPr>
        <w:tc>
          <w:tcPr>
            <w:tcW w:w="0" w:type="auto"/>
            <w:tcBorders>
              <w:top w:val="nil"/>
              <w:left w:val="single" w:sz="8" w:space="0" w:color="auto"/>
              <w:bottom w:val="nil"/>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2423" w:type="dxa"/>
            <w:gridSpan w:val="3"/>
            <w:tcBorders>
              <w:top w:val="nil"/>
              <w:left w:val="nil"/>
              <w:bottom w:val="nil"/>
              <w:right w:val="single" w:sz="8" w:space="0" w:color="000000"/>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Number Per Year</w:t>
            </w:r>
          </w:p>
        </w:tc>
        <w:tc>
          <w:tcPr>
            <w:tcW w:w="1998" w:type="dxa"/>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Average Rate, Ratio or Percentage for the Listed Years</w:t>
            </w:r>
          </w:p>
        </w:tc>
      </w:tr>
      <w:tr w:rsidR="001670EC" w:rsidRPr="00680D98" w:rsidTr="0036619D">
        <w:trPr>
          <w:trHeight w:val="120"/>
        </w:trPr>
        <w:tc>
          <w:tcPr>
            <w:tcW w:w="0" w:type="auto"/>
            <w:tcBorders>
              <w:top w:val="nil"/>
              <w:left w:val="single" w:sz="8" w:space="0" w:color="auto"/>
              <w:bottom w:val="nil"/>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2423" w:type="dxa"/>
            <w:gridSpan w:val="3"/>
            <w:tcBorders>
              <w:top w:val="nil"/>
              <w:left w:val="nil"/>
              <w:bottom w:val="single" w:sz="4" w:space="0" w:color="auto"/>
              <w:right w:val="single" w:sz="8" w:space="0" w:color="000000"/>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(If Available)</w:t>
            </w:r>
          </w:p>
        </w:tc>
        <w:tc>
          <w:tcPr>
            <w:tcW w:w="1998" w:type="dxa"/>
            <w:vMerge/>
            <w:tcBorders>
              <w:top w:val="single" w:sz="8" w:space="0" w:color="auto"/>
              <w:left w:val="single" w:sz="8" w:space="0" w:color="auto"/>
              <w:bottom w:val="single" w:sz="4" w:space="0" w:color="000000"/>
              <w:right w:val="single" w:sz="8" w:space="0" w:color="auto"/>
            </w:tcBorders>
            <w:vAlign w:val="center"/>
          </w:tcPr>
          <w:p w:rsidR="001670EC" w:rsidRPr="0013240B" w:rsidRDefault="001670EC" w:rsidP="005368ED">
            <w:pPr>
              <w:spacing w:after="0" w:line="240" w:lineRule="auto"/>
              <w:rPr>
                <w:b/>
                <w:bCs/>
                <w:color w:val="000000"/>
              </w:rPr>
            </w:pPr>
          </w:p>
        </w:tc>
      </w:tr>
      <w:tr w:rsidR="001670EC" w:rsidRPr="00680D98" w:rsidTr="0036619D">
        <w:trPr>
          <w:trHeight w:val="115"/>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13240B" w:rsidRDefault="001670EC" w:rsidP="005368ED">
            <w:pPr>
              <w:spacing w:after="0" w:line="240" w:lineRule="auto"/>
              <w:rPr>
                <w:color w:val="000000"/>
              </w:rPr>
            </w:pPr>
            <w:r w:rsidRPr="0013240B">
              <w:rPr>
                <w:color w:val="000000"/>
              </w:rPr>
              <w:t> </w:t>
            </w:r>
            <w:r w:rsidRPr="0013240B">
              <w:rPr>
                <w:b/>
                <w:bCs/>
                <w:color w:val="000000"/>
              </w:rPr>
              <w:t xml:space="preserve"> Focus Area: Built Environment</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Two</w:t>
            </w:r>
          </w:p>
        </w:tc>
        <w:tc>
          <w:tcPr>
            <w:tcW w:w="1171" w:type="dxa"/>
            <w:tcBorders>
              <w:top w:val="nil"/>
              <w:left w:val="nil"/>
              <w:bottom w:val="single" w:sz="4" w:space="0" w:color="auto"/>
              <w:right w:val="single" w:sz="8"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Three</w:t>
            </w:r>
          </w:p>
        </w:tc>
        <w:tc>
          <w:tcPr>
            <w:tcW w:w="1998" w:type="dxa"/>
            <w:vMerge/>
            <w:tcBorders>
              <w:top w:val="single" w:sz="8" w:space="0" w:color="auto"/>
              <w:left w:val="single" w:sz="8" w:space="0" w:color="auto"/>
              <w:bottom w:val="single" w:sz="4" w:space="0" w:color="000000"/>
              <w:right w:val="single" w:sz="8" w:space="0" w:color="auto"/>
            </w:tcBorders>
            <w:vAlign w:val="center"/>
          </w:tcPr>
          <w:p w:rsidR="001670EC" w:rsidRPr="0013240B" w:rsidRDefault="001670EC" w:rsidP="005368ED">
            <w:pPr>
              <w:spacing w:after="0" w:line="240" w:lineRule="auto"/>
              <w:rPr>
                <w:b/>
                <w:bCs/>
                <w:color w:val="000000"/>
              </w:rPr>
            </w:pPr>
          </w:p>
        </w:tc>
      </w:tr>
      <w:tr w:rsidR="001670EC" w:rsidRPr="00680D98" w:rsidTr="0036619D">
        <w:trPr>
          <w:trHeight w:val="33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1. Percentage of the Population that Live in Jurisdictions that Adopted Climate Smart Communities Pledge, 2012</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single" w:sz="4" w:space="0" w:color="BFBFBF"/>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single" w:sz="4" w:space="0" w:color="BFBFBF"/>
              <w:right w:val="single" w:sz="8" w:space="0" w:color="auto"/>
            </w:tcBorders>
            <w:shd w:val="clear" w:color="auto" w:fill="FFFF00"/>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0.0%</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2. Percentage of Commuters Who Use Alternative Modes of Transportation to Work, '07 - 11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single" w:sz="4" w:space="0" w:color="BFBFBF"/>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single" w:sz="4" w:space="0" w:color="BFBFBF"/>
              <w:right w:val="single" w:sz="8" w:space="0" w:color="auto"/>
            </w:tcBorders>
            <w:shd w:val="clear" w:color="auto" w:fill="FFFF00"/>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17.2%</w:t>
            </w:r>
          </w:p>
        </w:tc>
      </w:tr>
      <w:tr w:rsidR="001670EC" w:rsidRPr="00680D98" w:rsidTr="0036619D">
        <w:trPr>
          <w:trHeight w:val="222"/>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3. Percentage of Population with Low-Income and Low-Access to a Supermarket or Large Grocery Store, 2010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single" w:sz="4" w:space="0" w:color="BFBFBF"/>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3.2%</w:t>
            </w:r>
          </w:p>
        </w:tc>
      </w:tr>
      <w:tr w:rsidR="001670EC" w:rsidRPr="00680D98" w:rsidTr="0036619D">
        <w:trPr>
          <w:trHeight w:val="332"/>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4. Percentage of Homes in Vulnerable Neighborhoods that have Fewer Asthma Triggers During Home Revisits, '08 - 11</w:t>
            </w:r>
          </w:p>
        </w:tc>
        <w:tc>
          <w:tcPr>
            <w:tcW w:w="0" w:type="auto"/>
            <w:tcBorders>
              <w:top w:val="nil"/>
              <w:left w:val="nil"/>
              <w:bottom w:val="single" w:sz="4" w:space="0" w:color="auto"/>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single" w:sz="4" w:space="0" w:color="auto"/>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single" w:sz="4" w:space="0" w:color="auto"/>
              <w:right w:val="single" w:sz="8" w:space="0" w:color="auto"/>
            </w:tcBorders>
            <w:shd w:val="clear" w:color="000000" w:fill="FFFFFF"/>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N/A</w:t>
            </w:r>
          </w:p>
        </w:tc>
      </w:tr>
      <w:tr w:rsidR="001670EC" w:rsidRPr="00680D98" w:rsidTr="0031631C">
        <w:trPr>
          <w:trHeight w:val="115"/>
        </w:trPr>
        <w:tc>
          <w:tcPr>
            <w:tcW w:w="0" w:type="auto"/>
            <w:gridSpan w:val="5"/>
            <w:tcBorders>
              <w:top w:val="single" w:sz="4" w:space="0" w:color="auto"/>
              <w:left w:val="single" w:sz="8" w:space="0" w:color="auto"/>
              <w:bottom w:val="double" w:sz="6" w:space="0" w:color="auto"/>
              <w:right w:val="nil"/>
            </w:tcBorders>
            <w:shd w:val="clear" w:color="000000" w:fill="BFBFBF"/>
            <w:vAlign w:val="bottom"/>
          </w:tcPr>
          <w:p w:rsidR="001670EC" w:rsidRPr="0013240B" w:rsidRDefault="001670EC" w:rsidP="005368ED">
            <w:pPr>
              <w:spacing w:after="0" w:line="240" w:lineRule="auto"/>
              <w:jc w:val="center"/>
              <w:rPr>
                <w:b/>
                <w:bCs/>
                <w:color w:val="000000"/>
              </w:rPr>
            </w:pPr>
          </w:p>
        </w:tc>
      </w:tr>
      <w:tr w:rsidR="001670EC" w:rsidRPr="00680D98" w:rsidTr="0036619D">
        <w:trPr>
          <w:trHeight w:val="120"/>
        </w:trPr>
        <w:tc>
          <w:tcPr>
            <w:tcW w:w="0" w:type="auto"/>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b/>
                <w:bCs/>
                <w:color w:val="000000"/>
              </w:rPr>
            </w:pPr>
          </w:p>
        </w:tc>
        <w:tc>
          <w:tcPr>
            <w:tcW w:w="0" w:type="auto"/>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0" w:type="auto"/>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171" w:type="dxa"/>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998" w:type="dxa"/>
            <w:tcBorders>
              <w:top w:val="nil"/>
              <w:left w:val="nil"/>
              <w:bottom w:val="double" w:sz="6" w:space="0" w:color="auto"/>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r>
      <w:tr w:rsidR="001670EC" w:rsidRPr="00680D98" w:rsidTr="0036619D">
        <w:trPr>
          <w:trHeight w:val="125"/>
        </w:trPr>
        <w:tc>
          <w:tcPr>
            <w:tcW w:w="0" w:type="auto"/>
            <w:tcBorders>
              <w:top w:val="nil"/>
              <w:left w:val="single" w:sz="8" w:space="0" w:color="auto"/>
              <w:bottom w:val="nil"/>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2423" w:type="dxa"/>
            <w:gridSpan w:val="3"/>
            <w:tcBorders>
              <w:top w:val="nil"/>
              <w:left w:val="nil"/>
              <w:bottom w:val="nil"/>
              <w:right w:val="single" w:sz="8" w:space="0" w:color="000000"/>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Number Per Year</w:t>
            </w:r>
          </w:p>
        </w:tc>
        <w:tc>
          <w:tcPr>
            <w:tcW w:w="1998" w:type="dxa"/>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Average Rate, Ratio or Percentage for the Listed Years</w:t>
            </w:r>
          </w:p>
        </w:tc>
      </w:tr>
      <w:tr w:rsidR="001670EC" w:rsidRPr="00680D98" w:rsidTr="0036619D">
        <w:trPr>
          <w:trHeight w:val="120"/>
        </w:trPr>
        <w:tc>
          <w:tcPr>
            <w:tcW w:w="0" w:type="auto"/>
            <w:tcBorders>
              <w:top w:val="nil"/>
              <w:left w:val="single" w:sz="8" w:space="0" w:color="auto"/>
              <w:bottom w:val="nil"/>
              <w:right w:val="single" w:sz="8" w:space="0" w:color="auto"/>
            </w:tcBorders>
            <w:shd w:val="clear" w:color="000000" w:fill="A5A5A5"/>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2423" w:type="dxa"/>
            <w:gridSpan w:val="3"/>
            <w:tcBorders>
              <w:top w:val="nil"/>
              <w:left w:val="nil"/>
              <w:bottom w:val="single" w:sz="4" w:space="0" w:color="auto"/>
              <w:right w:val="single" w:sz="8" w:space="0" w:color="000000"/>
            </w:tcBorders>
            <w:shd w:val="clear" w:color="000000" w:fill="A5A5A5"/>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(If Available)</w:t>
            </w:r>
          </w:p>
        </w:tc>
        <w:tc>
          <w:tcPr>
            <w:tcW w:w="1998" w:type="dxa"/>
            <w:vMerge/>
            <w:tcBorders>
              <w:top w:val="single" w:sz="8" w:space="0" w:color="auto"/>
              <w:left w:val="single" w:sz="8" w:space="0" w:color="auto"/>
              <w:bottom w:val="single" w:sz="4" w:space="0" w:color="000000"/>
              <w:right w:val="single" w:sz="8" w:space="0" w:color="auto"/>
            </w:tcBorders>
            <w:vAlign w:val="center"/>
          </w:tcPr>
          <w:p w:rsidR="001670EC" w:rsidRPr="0013240B" w:rsidRDefault="001670EC" w:rsidP="005368ED">
            <w:pPr>
              <w:spacing w:after="0" w:line="240" w:lineRule="auto"/>
              <w:rPr>
                <w:b/>
                <w:bCs/>
                <w:color w:val="000000"/>
              </w:rPr>
            </w:pPr>
          </w:p>
        </w:tc>
      </w:tr>
      <w:tr w:rsidR="001670EC" w:rsidRPr="00680D98" w:rsidTr="0036619D">
        <w:trPr>
          <w:trHeight w:val="115"/>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13240B" w:rsidRDefault="001670EC" w:rsidP="005368ED">
            <w:pPr>
              <w:spacing w:after="0" w:line="240" w:lineRule="auto"/>
              <w:rPr>
                <w:color w:val="000000"/>
              </w:rPr>
            </w:pPr>
            <w:r w:rsidRPr="0013240B">
              <w:rPr>
                <w:color w:val="000000"/>
              </w:rPr>
              <w:t> </w:t>
            </w:r>
            <w:r w:rsidRPr="0013240B">
              <w:rPr>
                <w:b/>
                <w:bCs/>
                <w:color w:val="000000"/>
              </w:rPr>
              <w:t xml:space="preserve"> Focus Area: Water Quality</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Two</w:t>
            </w:r>
          </w:p>
        </w:tc>
        <w:tc>
          <w:tcPr>
            <w:tcW w:w="1171" w:type="dxa"/>
            <w:tcBorders>
              <w:top w:val="nil"/>
              <w:left w:val="nil"/>
              <w:bottom w:val="single" w:sz="4" w:space="0" w:color="auto"/>
              <w:right w:val="single" w:sz="8" w:space="0" w:color="auto"/>
            </w:tcBorders>
            <w:shd w:val="clear" w:color="000000" w:fill="A5A5A5"/>
            <w:noWrap/>
            <w:vAlign w:val="bottom"/>
          </w:tcPr>
          <w:p w:rsidR="001670EC" w:rsidRPr="0013240B" w:rsidRDefault="001670EC" w:rsidP="005368ED">
            <w:pPr>
              <w:spacing w:after="0" w:line="240" w:lineRule="auto"/>
              <w:jc w:val="center"/>
              <w:rPr>
                <w:b/>
                <w:bCs/>
                <w:color w:val="000000"/>
                <w:sz w:val="18"/>
                <w:szCs w:val="18"/>
              </w:rPr>
            </w:pPr>
            <w:r w:rsidRPr="0013240B">
              <w:rPr>
                <w:b/>
                <w:bCs/>
                <w:color w:val="000000"/>
                <w:sz w:val="18"/>
                <w:szCs w:val="18"/>
              </w:rPr>
              <w:t>Three</w:t>
            </w:r>
          </w:p>
        </w:tc>
        <w:tc>
          <w:tcPr>
            <w:tcW w:w="1998" w:type="dxa"/>
            <w:vMerge/>
            <w:tcBorders>
              <w:top w:val="single" w:sz="8" w:space="0" w:color="auto"/>
              <w:left w:val="single" w:sz="8" w:space="0" w:color="auto"/>
              <w:bottom w:val="single" w:sz="4" w:space="0" w:color="000000"/>
              <w:right w:val="single" w:sz="8" w:space="0" w:color="auto"/>
            </w:tcBorders>
            <w:vAlign w:val="center"/>
          </w:tcPr>
          <w:p w:rsidR="001670EC" w:rsidRPr="0013240B" w:rsidRDefault="001670EC" w:rsidP="005368ED">
            <w:pPr>
              <w:spacing w:after="0" w:line="240" w:lineRule="auto"/>
              <w:rPr>
                <w:b/>
                <w:bCs/>
                <w:color w:val="000000"/>
              </w:rPr>
            </w:pPr>
          </w:p>
        </w:tc>
      </w:tr>
      <w:tr w:rsidR="001670EC" w:rsidRPr="00680D98" w:rsidTr="0036619D">
        <w:trPr>
          <w:trHeight w:val="222"/>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13240B" w:rsidRDefault="001670EC" w:rsidP="005368ED">
            <w:pPr>
              <w:spacing w:after="0" w:line="240" w:lineRule="auto"/>
              <w:rPr>
                <w:color w:val="000000"/>
                <w:sz w:val="18"/>
                <w:szCs w:val="18"/>
              </w:rPr>
            </w:pPr>
            <w:r w:rsidRPr="0013240B">
              <w:rPr>
                <w:color w:val="000000"/>
                <w:sz w:val="18"/>
                <w:szCs w:val="18"/>
              </w:rPr>
              <w:t>1. Percentage of Residents Served by Community Water Systems with Optimally Fluoridated Water, 2012</w:t>
            </w:r>
          </w:p>
        </w:tc>
        <w:tc>
          <w:tcPr>
            <w:tcW w:w="0" w:type="auto"/>
            <w:tcBorders>
              <w:top w:val="nil"/>
              <w:left w:val="nil"/>
              <w:bottom w:val="nil"/>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0" w:type="auto"/>
            <w:tcBorders>
              <w:top w:val="nil"/>
              <w:left w:val="nil"/>
              <w:bottom w:val="nil"/>
              <w:right w:val="single" w:sz="4" w:space="0" w:color="auto"/>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171" w:type="dxa"/>
            <w:tcBorders>
              <w:top w:val="nil"/>
              <w:left w:val="nil"/>
              <w:bottom w:val="nil"/>
              <w:right w:val="nil"/>
            </w:tcBorders>
            <w:shd w:val="clear" w:color="000000" w:fill="FFFFFF"/>
            <w:noWrap/>
            <w:vAlign w:val="bottom"/>
          </w:tcPr>
          <w:p w:rsidR="001670EC" w:rsidRPr="0013240B" w:rsidRDefault="001670EC" w:rsidP="005368ED">
            <w:pPr>
              <w:spacing w:after="0" w:line="240" w:lineRule="auto"/>
              <w:rPr>
                <w:color w:val="000000"/>
                <w:sz w:val="18"/>
                <w:szCs w:val="18"/>
              </w:rPr>
            </w:pPr>
            <w:r w:rsidRPr="0013240B">
              <w:rPr>
                <w:color w:val="000000"/>
                <w:sz w:val="18"/>
                <w:szCs w:val="18"/>
              </w:rPr>
              <w:t> </w:t>
            </w:r>
          </w:p>
        </w:tc>
        <w:tc>
          <w:tcPr>
            <w:tcW w:w="1998" w:type="dxa"/>
            <w:tcBorders>
              <w:top w:val="nil"/>
              <w:left w:val="single" w:sz="8" w:space="0" w:color="auto"/>
              <w:bottom w:val="nil"/>
              <w:right w:val="single" w:sz="8" w:space="0" w:color="auto"/>
            </w:tcBorders>
            <w:shd w:val="clear" w:color="000000" w:fill="FFFFFF"/>
            <w:noWrap/>
            <w:vAlign w:val="bottom"/>
          </w:tcPr>
          <w:p w:rsidR="001670EC" w:rsidRPr="0013240B" w:rsidRDefault="001670EC" w:rsidP="005368ED">
            <w:pPr>
              <w:spacing w:after="0" w:line="240" w:lineRule="auto"/>
              <w:jc w:val="right"/>
              <w:rPr>
                <w:color w:val="000000"/>
                <w:sz w:val="18"/>
                <w:szCs w:val="18"/>
              </w:rPr>
            </w:pPr>
            <w:r w:rsidRPr="0013240B">
              <w:rPr>
                <w:color w:val="000000"/>
                <w:sz w:val="18"/>
                <w:szCs w:val="18"/>
              </w:rPr>
              <w:t>56.0%</w:t>
            </w:r>
          </w:p>
        </w:tc>
      </w:tr>
      <w:tr w:rsidR="001670EC" w:rsidRPr="00680D98" w:rsidTr="0031631C">
        <w:trPr>
          <w:trHeight w:val="115"/>
        </w:trPr>
        <w:tc>
          <w:tcPr>
            <w:tcW w:w="0" w:type="auto"/>
            <w:gridSpan w:val="5"/>
            <w:tcBorders>
              <w:top w:val="single" w:sz="4" w:space="0" w:color="auto"/>
              <w:left w:val="single" w:sz="8" w:space="0" w:color="auto"/>
              <w:bottom w:val="double" w:sz="6" w:space="0" w:color="auto"/>
              <w:right w:val="nil"/>
            </w:tcBorders>
            <w:shd w:val="clear" w:color="000000" w:fill="BFBFBF"/>
            <w:vAlign w:val="bottom"/>
          </w:tcPr>
          <w:p w:rsidR="001670EC" w:rsidRPr="0013240B" w:rsidRDefault="001670EC" w:rsidP="005368ED">
            <w:pPr>
              <w:spacing w:after="0" w:line="240" w:lineRule="auto"/>
              <w:jc w:val="center"/>
              <w:rPr>
                <w:b/>
                <w:bCs/>
                <w:color w:val="000000"/>
              </w:rPr>
            </w:pPr>
          </w:p>
        </w:tc>
      </w:tr>
      <w:tr w:rsidR="001670EC" w:rsidRPr="00680D98" w:rsidTr="0036619D">
        <w:trPr>
          <w:trHeight w:val="120"/>
        </w:trPr>
        <w:tc>
          <w:tcPr>
            <w:tcW w:w="0" w:type="auto"/>
            <w:tcBorders>
              <w:top w:val="nil"/>
              <w:left w:val="nil"/>
              <w:bottom w:val="nil"/>
              <w:right w:val="nil"/>
            </w:tcBorders>
            <w:shd w:val="clear" w:color="000000" w:fill="FFFFFF"/>
            <w:vAlign w:val="bottom"/>
          </w:tcPr>
          <w:p w:rsidR="001670EC" w:rsidRPr="0013240B" w:rsidRDefault="001670EC" w:rsidP="005368ED">
            <w:pPr>
              <w:spacing w:after="0" w:line="240" w:lineRule="auto"/>
              <w:jc w:val="center"/>
              <w:rPr>
                <w:b/>
                <w:bCs/>
                <w:color w:val="000000"/>
              </w:rPr>
            </w:pPr>
            <w:r w:rsidRPr="0013240B">
              <w:rPr>
                <w:b/>
                <w:bCs/>
                <w:color w:val="000000"/>
              </w:rPr>
              <w:t> </w:t>
            </w:r>
          </w:p>
        </w:tc>
        <w:tc>
          <w:tcPr>
            <w:tcW w:w="0" w:type="auto"/>
            <w:tcBorders>
              <w:top w:val="nil"/>
              <w:left w:val="nil"/>
              <w:bottom w:val="nil"/>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0" w:type="auto"/>
            <w:tcBorders>
              <w:top w:val="nil"/>
              <w:left w:val="nil"/>
              <w:bottom w:val="nil"/>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171" w:type="dxa"/>
            <w:tcBorders>
              <w:top w:val="nil"/>
              <w:left w:val="nil"/>
              <w:bottom w:val="nil"/>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c>
          <w:tcPr>
            <w:tcW w:w="1998" w:type="dxa"/>
            <w:tcBorders>
              <w:top w:val="nil"/>
              <w:left w:val="nil"/>
              <w:bottom w:val="nil"/>
              <w:right w:val="nil"/>
            </w:tcBorders>
            <w:shd w:val="clear" w:color="000000" w:fill="FFFFFF"/>
            <w:vAlign w:val="bottom"/>
          </w:tcPr>
          <w:p w:rsidR="001670EC" w:rsidRPr="0013240B" w:rsidRDefault="001670EC" w:rsidP="005368ED">
            <w:pPr>
              <w:spacing w:after="0" w:line="240" w:lineRule="auto"/>
              <w:rPr>
                <w:color w:val="000000"/>
              </w:rPr>
            </w:pPr>
            <w:r w:rsidRPr="0013240B">
              <w:rPr>
                <w:color w:val="000000"/>
              </w:rPr>
              <w:t> </w:t>
            </w:r>
          </w:p>
        </w:tc>
      </w:tr>
    </w:tbl>
    <w:tbl>
      <w:tblPr>
        <w:tblW w:w="0" w:type="auto"/>
        <w:tblInd w:w="18" w:type="dxa"/>
        <w:tblLook w:val="00A0"/>
      </w:tblPr>
      <w:tblGrid>
        <w:gridCol w:w="4177"/>
        <w:gridCol w:w="626"/>
        <w:gridCol w:w="626"/>
        <w:gridCol w:w="647"/>
        <w:gridCol w:w="3482"/>
      </w:tblGrid>
      <w:tr w:rsidR="001670EC" w:rsidRPr="00680D98" w:rsidTr="003311B5">
        <w:trPr>
          <w:trHeight w:val="108"/>
        </w:trPr>
        <w:tc>
          <w:tcPr>
            <w:tcW w:w="4177" w:type="dxa"/>
            <w:tcBorders>
              <w:top w:val="single" w:sz="8" w:space="0" w:color="auto"/>
              <w:left w:val="single" w:sz="8" w:space="0" w:color="auto"/>
              <w:bottom w:val="nil"/>
              <w:right w:val="single" w:sz="8" w:space="0" w:color="auto"/>
            </w:tcBorders>
            <w:shd w:val="clear" w:color="000000" w:fill="A5A5A5"/>
            <w:vAlign w:val="bottom"/>
          </w:tcPr>
          <w:p w:rsidR="001670EC" w:rsidRPr="0013240B" w:rsidRDefault="001670EC" w:rsidP="0013240B">
            <w:pPr>
              <w:spacing w:after="0" w:line="240" w:lineRule="auto"/>
              <w:jc w:val="center"/>
              <w:rPr>
                <w:b/>
                <w:bCs/>
                <w:color w:val="000000"/>
              </w:rPr>
            </w:pPr>
            <w:bookmarkStart w:id="40" w:name="_Toc355250984"/>
            <w:r w:rsidRPr="0013240B">
              <w:rPr>
                <w:b/>
                <w:bCs/>
                <w:color w:val="000000"/>
              </w:rPr>
              <w:t> </w:t>
            </w:r>
          </w:p>
        </w:tc>
        <w:tc>
          <w:tcPr>
            <w:tcW w:w="0" w:type="auto"/>
            <w:gridSpan w:val="3"/>
            <w:tcBorders>
              <w:top w:val="single" w:sz="8" w:space="0" w:color="auto"/>
              <w:left w:val="nil"/>
              <w:bottom w:val="nil"/>
              <w:right w:val="single" w:sz="8" w:space="0" w:color="000000"/>
            </w:tcBorders>
            <w:shd w:val="clear" w:color="000000" w:fill="A5A5A5"/>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Number Per Year</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Average Rate, Ratio or Percentage for the Listed Years</w:t>
            </w:r>
          </w:p>
        </w:tc>
      </w:tr>
      <w:tr w:rsidR="001670EC" w:rsidRPr="00680D98" w:rsidTr="003311B5">
        <w:trPr>
          <w:trHeight w:val="108"/>
        </w:trPr>
        <w:tc>
          <w:tcPr>
            <w:tcW w:w="4177" w:type="dxa"/>
            <w:tcBorders>
              <w:top w:val="nil"/>
              <w:left w:val="single" w:sz="8" w:space="0" w:color="auto"/>
              <w:bottom w:val="nil"/>
              <w:right w:val="single" w:sz="8" w:space="0" w:color="auto"/>
            </w:tcBorders>
            <w:shd w:val="clear" w:color="000000" w:fill="A5A5A5"/>
            <w:vAlign w:val="bottom"/>
          </w:tcPr>
          <w:p w:rsidR="001670EC" w:rsidRPr="0013240B" w:rsidRDefault="001670EC" w:rsidP="0013240B">
            <w:pPr>
              <w:spacing w:after="0" w:line="240" w:lineRule="auto"/>
              <w:jc w:val="center"/>
              <w:rPr>
                <w:b/>
                <w:bCs/>
                <w:color w:val="000000"/>
                <w:sz w:val="18"/>
                <w:szCs w:val="18"/>
              </w:rPr>
            </w:pPr>
            <w:r w:rsidRPr="0013240B">
              <w:rPr>
                <w:b/>
                <w:bCs/>
                <w:color w:val="000000"/>
              </w:rPr>
              <w:t>Focus Area: Reduce Obesity in Children and Adults</w:t>
            </w:r>
            <w:r w:rsidRPr="0013240B">
              <w:rPr>
                <w:b/>
                <w:bCs/>
                <w:color w:val="000000"/>
                <w:sz w:val="18"/>
                <w:szCs w:val="18"/>
              </w:rPr>
              <w:t> </w:t>
            </w:r>
          </w:p>
        </w:tc>
        <w:tc>
          <w:tcPr>
            <w:tcW w:w="0" w:type="auto"/>
            <w:gridSpan w:val="3"/>
            <w:tcBorders>
              <w:top w:val="nil"/>
              <w:left w:val="nil"/>
              <w:bottom w:val="single" w:sz="4" w:space="0" w:color="auto"/>
              <w:right w:val="single" w:sz="8" w:space="0" w:color="000000"/>
            </w:tcBorders>
            <w:shd w:val="clear" w:color="000000" w:fill="A5A5A5"/>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(If Available)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13240B" w:rsidRDefault="001670EC" w:rsidP="0013240B">
            <w:pPr>
              <w:spacing w:after="0" w:line="240" w:lineRule="auto"/>
              <w:rPr>
                <w:b/>
                <w:bCs/>
                <w:color w:val="000000"/>
              </w:rPr>
            </w:pPr>
          </w:p>
        </w:tc>
      </w:tr>
      <w:tr w:rsidR="001670EC" w:rsidRPr="00680D98" w:rsidTr="003311B5">
        <w:trPr>
          <w:trHeight w:val="100"/>
        </w:trPr>
        <w:tc>
          <w:tcPr>
            <w:tcW w:w="4177" w:type="dxa"/>
            <w:tcBorders>
              <w:top w:val="nil"/>
              <w:left w:val="single" w:sz="8" w:space="0" w:color="auto"/>
              <w:bottom w:val="single" w:sz="4" w:space="0" w:color="auto"/>
              <w:right w:val="single" w:sz="8" w:space="0" w:color="auto"/>
            </w:tcBorders>
            <w:shd w:val="clear" w:color="000000" w:fill="A5A5A5"/>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Two</w:t>
            </w:r>
          </w:p>
        </w:tc>
        <w:tc>
          <w:tcPr>
            <w:tcW w:w="0" w:type="auto"/>
            <w:tcBorders>
              <w:top w:val="nil"/>
              <w:left w:val="nil"/>
              <w:bottom w:val="single" w:sz="4" w:space="0" w:color="auto"/>
              <w:right w:val="single" w:sz="8" w:space="0" w:color="auto"/>
            </w:tcBorders>
            <w:shd w:val="clear" w:color="000000" w:fill="A5A5A5"/>
            <w:noWrap/>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Three</w:t>
            </w:r>
          </w:p>
        </w:tc>
        <w:tc>
          <w:tcPr>
            <w:tcW w:w="0" w:type="auto"/>
            <w:vMerge/>
            <w:tcBorders>
              <w:top w:val="single" w:sz="8" w:space="0" w:color="auto"/>
              <w:left w:val="single" w:sz="8" w:space="0" w:color="auto"/>
              <w:right w:val="single" w:sz="8" w:space="0" w:color="auto"/>
            </w:tcBorders>
            <w:vAlign w:val="center"/>
          </w:tcPr>
          <w:p w:rsidR="001670EC" w:rsidRPr="0013240B" w:rsidRDefault="001670EC" w:rsidP="0013240B">
            <w:pPr>
              <w:spacing w:after="0" w:line="240" w:lineRule="auto"/>
              <w:rPr>
                <w:b/>
                <w:bCs/>
                <w:color w:val="000000"/>
              </w:rPr>
            </w:pPr>
          </w:p>
        </w:tc>
      </w:tr>
      <w:tr w:rsidR="001670EC" w:rsidRPr="00680D98" w:rsidTr="003311B5">
        <w:trPr>
          <w:trHeight w:val="100"/>
        </w:trPr>
        <w:tc>
          <w:tcPr>
            <w:tcW w:w="4177" w:type="dxa"/>
            <w:tcBorders>
              <w:top w:val="nil"/>
              <w:left w:val="single" w:sz="8" w:space="0" w:color="auto"/>
              <w:bottom w:val="single" w:sz="4" w:space="0" w:color="auto"/>
              <w:right w:val="single" w:sz="8" w:space="0" w:color="auto"/>
            </w:tcBorders>
            <w:shd w:val="clear" w:color="000000" w:fill="FFFFFF"/>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Prevention Agenda Indicators</w:t>
            </w:r>
          </w:p>
        </w:tc>
        <w:tc>
          <w:tcPr>
            <w:tcW w:w="0" w:type="auto"/>
            <w:gridSpan w:val="4"/>
            <w:tcBorders>
              <w:top w:val="single" w:sz="4" w:space="0" w:color="auto"/>
              <w:left w:val="nil"/>
              <w:bottom w:val="single" w:sz="4" w:space="0" w:color="auto"/>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1. Percentage of Adults Ages 18 Plus Who are Obese, '08/09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27.1%</w:t>
            </w:r>
          </w:p>
        </w:tc>
      </w:tr>
      <w:tr w:rsidR="001670EC" w:rsidRPr="00680D98" w:rsidTr="003311B5">
        <w:trPr>
          <w:trHeight w:val="199"/>
        </w:trPr>
        <w:tc>
          <w:tcPr>
            <w:tcW w:w="4177" w:type="dxa"/>
            <w:tcBorders>
              <w:top w:val="nil"/>
              <w:left w:val="single" w:sz="8" w:space="0" w:color="auto"/>
              <w:bottom w:val="single" w:sz="4" w:space="0" w:color="auto"/>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 Percentage of Public School Children Who are Obese, '10 - 12</w:t>
            </w:r>
          </w:p>
        </w:tc>
        <w:tc>
          <w:tcPr>
            <w:tcW w:w="0" w:type="auto"/>
            <w:tcBorders>
              <w:top w:val="nil"/>
              <w:left w:val="nil"/>
              <w:bottom w:val="single" w:sz="4" w:space="0" w:color="auto"/>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auto"/>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19.3%</w:t>
            </w:r>
          </w:p>
        </w:tc>
      </w:tr>
      <w:tr w:rsidR="001670EC" w:rsidRPr="00680D98" w:rsidTr="0036619D">
        <w:trPr>
          <w:trHeight w:val="100"/>
        </w:trPr>
        <w:tc>
          <w:tcPr>
            <w:tcW w:w="9558" w:type="dxa"/>
            <w:gridSpan w:val="5"/>
            <w:tcBorders>
              <w:top w:val="single" w:sz="4" w:space="0" w:color="auto"/>
              <w:left w:val="single" w:sz="8" w:space="0" w:color="auto"/>
              <w:bottom w:val="single" w:sz="4" w:space="0" w:color="auto"/>
              <w:right w:val="single" w:sz="8" w:space="0" w:color="auto"/>
            </w:tcBorders>
            <w:shd w:val="clear" w:color="000000" w:fill="BFBFBF"/>
            <w:vAlign w:val="bottom"/>
          </w:tcPr>
          <w:p w:rsidR="001670EC" w:rsidRPr="0013240B" w:rsidRDefault="001670EC" w:rsidP="0013240B">
            <w:pPr>
              <w:spacing w:after="0" w:line="240" w:lineRule="auto"/>
              <w:jc w:val="center"/>
              <w:rPr>
                <w:b/>
                <w:bCs/>
                <w:color w:val="000000"/>
              </w:rPr>
            </w:pPr>
            <w:r w:rsidRPr="0013240B">
              <w:rPr>
                <w:b/>
                <w:bCs/>
                <w:color w:val="000000"/>
              </w:rPr>
              <w:t>Prevention Agenda Indicators</w:t>
            </w:r>
          </w:p>
        </w:tc>
      </w:tr>
      <w:tr w:rsidR="001670EC" w:rsidRPr="00680D98" w:rsidTr="003311B5">
        <w:trPr>
          <w:trHeight w:val="100"/>
        </w:trPr>
        <w:tc>
          <w:tcPr>
            <w:tcW w:w="4177" w:type="dxa"/>
            <w:tcBorders>
              <w:top w:val="nil"/>
              <w:left w:val="single" w:sz="8" w:space="0" w:color="auto"/>
              <w:bottom w:val="single" w:sz="4" w:space="0" w:color="auto"/>
              <w:right w:val="single" w:sz="8" w:space="0" w:color="auto"/>
            </w:tcBorders>
            <w:shd w:val="clear" w:color="000000" w:fill="FFFFFF"/>
            <w:vAlign w:val="bottom"/>
          </w:tcPr>
          <w:p w:rsidR="001670EC" w:rsidRPr="0013240B" w:rsidRDefault="001670EC" w:rsidP="0013240B">
            <w:pPr>
              <w:spacing w:after="0" w:line="240" w:lineRule="auto"/>
              <w:jc w:val="center"/>
              <w:rPr>
                <w:b/>
                <w:bCs/>
                <w:color w:val="000000"/>
                <w:sz w:val="18"/>
                <w:szCs w:val="18"/>
              </w:rPr>
            </w:pPr>
            <w:r w:rsidRPr="0013240B">
              <w:rPr>
                <w:b/>
                <w:bCs/>
                <w:color w:val="000000"/>
                <w:sz w:val="18"/>
                <w:szCs w:val="18"/>
              </w:rPr>
              <w:t>Other Indicators</w:t>
            </w:r>
          </w:p>
        </w:tc>
        <w:tc>
          <w:tcPr>
            <w:tcW w:w="0" w:type="auto"/>
            <w:gridSpan w:val="4"/>
            <w:tcBorders>
              <w:top w:val="single" w:sz="4" w:space="0" w:color="auto"/>
              <w:left w:val="nil"/>
              <w:bottom w:val="single" w:sz="4" w:space="0" w:color="auto"/>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r>
      <w:tr w:rsidR="001670EC" w:rsidRPr="00680D98" w:rsidTr="003311B5">
        <w:trPr>
          <w:trHeight w:val="100"/>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1. Percentage of Total Students Overweight,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17.0%</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 Percentage of Elementary Students Overweight, Not Obese,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6.1%</w:t>
            </w:r>
          </w:p>
        </w:tc>
      </w:tr>
      <w:tr w:rsidR="001670EC" w:rsidRPr="00680D98" w:rsidTr="003311B5">
        <w:trPr>
          <w:trHeight w:val="100"/>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3. Percentage of Elementary Students Obese,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14.0%</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4. Percentage of Middle and High School Students Overweight, Not Obese,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9.6%</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5. Percentage of Middle and High School Students Obese,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19.5%</w:t>
            </w:r>
          </w:p>
        </w:tc>
      </w:tr>
      <w:tr w:rsidR="001670EC" w:rsidRPr="00680D98" w:rsidTr="003311B5">
        <w:trPr>
          <w:trHeight w:val="100"/>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6. Percentage of WIC Children Ages 2 - 4 Obese,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single" w:sz="4" w:space="0" w:color="BFBFBF"/>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48.7%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7. Percentage of Age Adjusted Adults (Ages 18 Plus) Overweight or Obese, '08/09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62.1%</w:t>
            </w:r>
          </w:p>
        </w:tc>
      </w:tr>
      <w:tr w:rsidR="001670EC" w:rsidRPr="00680D98" w:rsidTr="003311B5">
        <w:trPr>
          <w:trHeight w:val="2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8. Percentage of Age Adjusted Adults (Ages 18 Plus) Who Did Not Participate in Leisure Activities Last 30 Days, '08/09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75.7%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9. Number of Recreational and Fitness Facilities per 100,000 Population, 2009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7.2</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10. Percentage of Age Adjusted Adults (Ages 18 Plus) Eating Five or More Vegetables per Day, '08/09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24.2%</w:t>
            </w:r>
          </w:p>
        </w:tc>
      </w:tr>
      <w:tr w:rsidR="001670EC" w:rsidRPr="00680D98" w:rsidTr="003311B5">
        <w:trPr>
          <w:trHeight w:val="2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11. Percentage of Age Adjusted Adults (Ages 18 Plus) with Cholesterol Check within the Last Five Years, '08/09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76.9%</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12. Percentage of Age Adjusted Adults (18 Plus) Ever Diagnosed with High Blood Pressure, '08/09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32.8%</w:t>
            </w:r>
          </w:p>
        </w:tc>
      </w:tr>
      <w:tr w:rsidR="001670EC" w:rsidRPr="00680D98" w:rsidTr="003311B5">
        <w:trPr>
          <w:trHeight w:val="2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13. Percentage of Age Adjusted Adults (18 Plus) with Physician Diagnoses Angina, Heart Attack, or Stroke, '08/09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rPr>
                <w:color w:val="000000"/>
                <w:sz w:val="18"/>
                <w:szCs w:val="18"/>
              </w:rPr>
            </w:pPr>
            <w:r w:rsidRPr="0013240B">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8.6%</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14. Rate of Cardiovascular Disease Deaths per 100,000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233</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203</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207</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388.3</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15. Rate of Cardiovascular Premature Deaths ( Ages 35 - 64) per 100,000 Population Ages 35 - 64,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35</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25</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27</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52.5</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16. Rate of Pretransport Deaths per 100,000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115</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110</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109</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201.7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17. Rate of Cardiovascular Hospitalizations per 10,000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1,166</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1,106</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1,189</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209.0</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18. Rate of Diseases of the Heart Deaths per 100,000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193</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169</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163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317.0</w:t>
            </w:r>
          </w:p>
        </w:tc>
      </w:tr>
      <w:tr w:rsidR="001670EC" w:rsidRPr="00680D98" w:rsidTr="003311B5">
        <w:trPr>
          <w:trHeight w:val="2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19. Rate of Diseases of the Heart Premature Deaths ( Ages 35 - 64) per 100,000 Population Ages 35 - 64,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29</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21</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21</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42.9</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20. Rate of Disease of the Heart Transport Deaths per 100,000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95</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98</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90</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170.9</w:t>
            </w:r>
          </w:p>
        </w:tc>
      </w:tr>
      <w:tr w:rsidR="001670EC" w:rsidRPr="00680D98" w:rsidTr="003311B5">
        <w:trPr>
          <w:trHeight w:val="199"/>
        </w:trPr>
        <w:tc>
          <w:tcPr>
            <w:tcW w:w="4177" w:type="dxa"/>
            <w:tcBorders>
              <w:top w:val="nil"/>
              <w:left w:val="single" w:sz="8" w:space="0" w:color="auto"/>
              <w:bottom w:val="single" w:sz="4" w:space="0" w:color="D8D8D8"/>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21. Rate of Disease of the Heart Hospitalizations per 10,000 Population,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789</w:t>
            </w:r>
          </w:p>
        </w:tc>
        <w:tc>
          <w:tcPr>
            <w:tcW w:w="0" w:type="auto"/>
            <w:tcBorders>
              <w:top w:val="nil"/>
              <w:left w:val="nil"/>
              <w:bottom w:val="single" w:sz="4" w:space="0" w:color="D8D8D8"/>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735</w:t>
            </w:r>
          </w:p>
        </w:tc>
        <w:tc>
          <w:tcPr>
            <w:tcW w:w="0" w:type="auto"/>
            <w:tcBorders>
              <w:top w:val="nil"/>
              <w:left w:val="nil"/>
              <w:bottom w:val="single" w:sz="4" w:space="0" w:color="D8D8D8"/>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790</w:t>
            </w:r>
          </w:p>
        </w:tc>
        <w:tc>
          <w:tcPr>
            <w:tcW w:w="0" w:type="auto"/>
            <w:tcBorders>
              <w:top w:val="nil"/>
              <w:left w:val="nil"/>
              <w:bottom w:val="single" w:sz="4" w:space="0" w:color="D8D8D8"/>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139.7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22. Rate of Coronary Heart Diseases Deaths per 100,000 Population,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133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118</w:t>
            </w:r>
          </w:p>
        </w:tc>
        <w:tc>
          <w:tcPr>
            <w:tcW w:w="0" w:type="auto"/>
            <w:tcBorders>
              <w:top w:val="nil"/>
              <w:left w:val="nil"/>
              <w:bottom w:val="single" w:sz="4" w:space="0" w:color="BFBFBF"/>
              <w:right w:val="single" w:sz="8" w:space="0" w:color="auto"/>
            </w:tcBorders>
            <w:shd w:val="clear" w:color="000000" w:fill="FFFFFF"/>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236.7</w:t>
            </w:r>
          </w:p>
        </w:tc>
      </w:tr>
      <w:tr w:rsidR="001670EC" w:rsidRPr="00680D98" w:rsidTr="003311B5">
        <w:trPr>
          <w:trHeight w:val="2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23. Rate of Coronary Heart Diseases Premature Deaths (Ages 35 - 64) per 100,000 Population Ages 35 - 64,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22</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15</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30.8</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24. Rate of Coronary Heart Disease Transport Deaths per 100,000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73</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80</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63</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130.4</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25. Rate of Coronary Heart Disease Hospitalizations per 10,000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329</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294</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297</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55.6</w:t>
            </w:r>
          </w:p>
        </w:tc>
      </w:tr>
      <w:tr w:rsidR="001670EC" w:rsidRPr="00680D98" w:rsidTr="003311B5">
        <w:trPr>
          <w:trHeight w:val="199"/>
        </w:trPr>
        <w:tc>
          <w:tcPr>
            <w:tcW w:w="4177" w:type="dxa"/>
            <w:tcBorders>
              <w:top w:val="nil"/>
              <w:left w:val="single" w:sz="8" w:space="0" w:color="auto"/>
              <w:bottom w:val="single" w:sz="8" w:space="0" w:color="auto"/>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Pr>
                <w:color w:val="000000"/>
                <w:sz w:val="18"/>
                <w:szCs w:val="18"/>
              </w:rPr>
              <w:t xml:space="preserve">26. Rate </w:t>
            </w:r>
            <w:r w:rsidRPr="0013240B">
              <w:rPr>
                <w:color w:val="000000"/>
                <w:sz w:val="18"/>
                <w:szCs w:val="18"/>
              </w:rPr>
              <w:t>Cong</w:t>
            </w:r>
            <w:r>
              <w:rPr>
                <w:color w:val="000000"/>
                <w:sz w:val="18"/>
                <w:szCs w:val="18"/>
              </w:rPr>
              <w:t>estive Heart Failure Deaths/</w:t>
            </w:r>
            <w:r w:rsidRPr="0013240B">
              <w:rPr>
                <w:color w:val="000000"/>
                <w:sz w:val="18"/>
                <w:szCs w:val="18"/>
              </w:rPr>
              <w:t>100,000 Population, '08 - 10</w:t>
            </w:r>
          </w:p>
        </w:tc>
        <w:tc>
          <w:tcPr>
            <w:tcW w:w="0" w:type="auto"/>
            <w:tcBorders>
              <w:top w:val="nil"/>
              <w:left w:val="nil"/>
              <w:bottom w:val="single" w:sz="8" w:space="0" w:color="auto"/>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11</w:t>
            </w:r>
          </w:p>
        </w:tc>
        <w:tc>
          <w:tcPr>
            <w:tcW w:w="0" w:type="auto"/>
            <w:tcBorders>
              <w:top w:val="nil"/>
              <w:left w:val="nil"/>
              <w:bottom w:val="single" w:sz="8" w:space="0" w:color="auto"/>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12</w:t>
            </w:r>
          </w:p>
        </w:tc>
        <w:tc>
          <w:tcPr>
            <w:tcW w:w="0" w:type="auto"/>
            <w:tcBorders>
              <w:top w:val="nil"/>
              <w:left w:val="nil"/>
              <w:bottom w:val="single" w:sz="8" w:space="0" w:color="auto"/>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w:t>
            </w:r>
          </w:p>
        </w:tc>
        <w:tc>
          <w:tcPr>
            <w:tcW w:w="0" w:type="auto"/>
            <w:tcBorders>
              <w:top w:val="nil"/>
              <w:left w:val="nil"/>
              <w:bottom w:val="single" w:sz="8" w:space="0" w:color="auto"/>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22.3</w:t>
            </w:r>
          </w:p>
        </w:tc>
      </w:tr>
      <w:tr w:rsidR="001670EC" w:rsidRPr="00680D98" w:rsidTr="003311B5">
        <w:trPr>
          <w:trHeight w:val="299"/>
        </w:trPr>
        <w:tc>
          <w:tcPr>
            <w:tcW w:w="4177" w:type="dxa"/>
            <w:tcBorders>
              <w:top w:val="single" w:sz="8" w:space="0" w:color="auto"/>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Pr>
                <w:color w:val="000000"/>
                <w:sz w:val="18"/>
                <w:szCs w:val="18"/>
              </w:rPr>
              <w:t xml:space="preserve">27. Rate </w:t>
            </w:r>
            <w:r w:rsidRPr="0013240B">
              <w:rPr>
                <w:color w:val="000000"/>
                <w:sz w:val="18"/>
                <w:szCs w:val="18"/>
              </w:rPr>
              <w:t>Congestive Heart Failure Premature Deaths (Ages 35 - 64) per 100,000 Population Ages 35 - 64, '08 - 10</w:t>
            </w:r>
          </w:p>
        </w:tc>
        <w:tc>
          <w:tcPr>
            <w:tcW w:w="0" w:type="auto"/>
            <w:tcBorders>
              <w:top w:val="single" w:sz="8" w:space="0" w:color="auto"/>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0</w:t>
            </w:r>
          </w:p>
        </w:tc>
        <w:tc>
          <w:tcPr>
            <w:tcW w:w="0" w:type="auto"/>
            <w:tcBorders>
              <w:top w:val="single" w:sz="8" w:space="0" w:color="auto"/>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w:t>
            </w:r>
          </w:p>
        </w:tc>
        <w:tc>
          <w:tcPr>
            <w:tcW w:w="0" w:type="auto"/>
            <w:tcBorders>
              <w:top w:val="single" w:sz="8" w:space="0" w:color="auto"/>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0</w:t>
            </w:r>
          </w:p>
        </w:tc>
        <w:tc>
          <w:tcPr>
            <w:tcW w:w="0" w:type="auto"/>
            <w:tcBorders>
              <w:top w:val="single" w:sz="8" w:space="0" w:color="auto"/>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1.8</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28. Rate of Congestive Heart Failure Transport Deaths per 100,000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5</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6</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9</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12.1</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29. Rate of Congestive Heart Failure Hospitalizations per 10,000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177</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177</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221</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34.7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30. Rate of Cerebrovascular (Stroke) Deaths per 100,000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26</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25</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29</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48.3</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31. Rate of Cerebrovascular (Stroke) Hospitalizations per 10,000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211</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228</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229</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40.3</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32. Rate of Hypertension Hospitalizations (Ages 18 Plus) per 100,000 Population Ages 18 Plus,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13</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26</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3.2</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33. Rate of Diabetes Deaths per 100,000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7</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9</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6</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13.3</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shd w:val="clear" w:color="000000" w:fill="FFFFFF"/>
            <w:vAlign w:val="bottom"/>
          </w:tcPr>
          <w:p w:rsidR="001670EC" w:rsidRPr="0013240B" w:rsidRDefault="001670EC" w:rsidP="0013240B">
            <w:pPr>
              <w:spacing w:after="0" w:line="240" w:lineRule="auto"/>
              <w:rPr>
                <w:color w:val="000000"/>
                <w:sz w:val="18"/>
                <w:szCs w:val="18"/>
              </w:rPr>
            </w:pPr>
            <w:r w:rsidRPr="0013240B">
              <w:rPr>
                <w:color w:val="000000"/>
                <w:sz w:val="18"/>
                <w:szCs w:val="18"/>
              </w:rPr>
              <w:t>34. Rate of Diabetes Hospitalizations (Primary Diagnosis) per 10,000 Population, '08 - 10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100</w:t>
            </w:r>
          </w:p>
        </w:tc>
        <w:tc>
          <w:tcPr>
            <w:tcW w:w="0" w:type="auto"/>
            <w:tcBorders>
              <w:top w:val="nil"/>
              <w:left w:val="nil"/>
              <w:bottom w:val="single" w:sz="4" w:space="0" w:color="BFBFBF"/>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100</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140</w:t>
            </w:r>
          </w:p>
        </w:tc>
        <w:tc>
          <w:tcPr>
            <w:tcW w:w="0" w:type="auto"/>
            <w:tcBorders>
              <w:top w:val="nil"/>
              <w:left w:val="nil"/>
              <w:bottom w:val="single" w:sz="4" w:space="0" w:color="BFBFBF"/>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20.5</w:t>
            </w:r>
          </w:p>
        </w:tc>
      </w:tr>
      <w:tr w:rsidR="001670EC" w:rsidRPr="00680D98" w:rsidTr="003311B5">
        <w:trPr>
          <w:trHeight w:val="199"/>
        </w:trPr>
        <w:tc>
          <w:tcPr>
            <w:tcW w:w="4177" w:type="dxa"/>
            <w:tcBorders>
              <w:top w:val="nil"/>
              <w:left w:val="single" w:sz="8" w:space="0" w:color="auto"/>
              <w:bottom w:val="single" w:sz="4" w:space="0" w:color="auto"/>
              <w:right w:val="single" w:sz="8" w:space="0" w:color="auto"/>
            </w:tcBorders>
            <w:vAlign w:val="bottom"/>
          </w:tcPr>
          <w:p w:rsidR="001670EC" w:rsidRPr="0013240B" w:rsidRDefault="001670EC" w:rsidP="0013240B">
            <w:pPr>
              <w:spacing w:after="0" w:line="240" w:lineRule="auto"/>
              <w:rPr>
                <w:color w:val="000000"/>
                <w:sz w:val="18"/>
                <w:szCs w:val="18"/>
              </w:rPr>
            </w:pPr>
            <w:r w:rsidRPr="0013240B">
              <w:rPr>
                <w:color w:val="000000"/>
                <w:sz w:val="18"/>
                <w:szCs w:val="18"/>
              </w:rPr>
              <w:t>35. Rate of Diabetes Hospitalizations (Any Diagnosis) per 10,000 Population, '08 - 10</w:t>
            </w:r>
          </w:p>
        </w:tc>
        <w:tc>
          <w:tcPr>
            <w:tcW w:w="0" w:type="auto"/>
            <w:tcBorders>
              <w:top w:val="nil"/>
              <w:left w:val="nil"/>
              <w:bottom w:val="single" w:sz="4" w:space="0" w:color="auto"/>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1,504</w:t>
            </w:r>
          </w:p>
        </w:tc>
        <w:tc>
          <w:tcPr>
            <w:tcW w:w="0" w:type="auto"/>
            <w:tcBorders>
              <w:top w:val="nil"/>
              <w:left w:val="nil"/>
              <w:bottom w:val="single" w:sz="4" w:space="0" w:color="auto"/>
              <w:right w:val="single" w:sz="4"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1,472</w:t>
            </w:r>
          </w:p>
        </w:tc>
        <w:tc>
          <w:tcPr>
            <w:tcW w:w="0" w:type="auto"/>
            <w:tcBorders>
              <w:top w:val="nil"/>
              <w:left w:val="nil"/>
              <w:bottom w:val="single" w:sz="4" w:space="0" w:color="auto"/>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1,782</w:t>
            </w:r>
          </w:p>
        </w:tc>
        <w:tc>
          <w:tcPr>
            <w:tcW w:w="0" w:type="auto"/>
            <w:tcBorders>
              <w:top w:val="nil"/>
              <w:left w:val="nil"/>
              <w:bottom w:val="single" w:sz="4" w:space="0" w:color="auto"/>
              <w:right w:val="single" w:sz="8" w:space="0" w:color="auto"/>
            </w:tcBorders>
            <w:noWrap/>
            <w:vAlign w:val="bottom"/>
          </w:tcPr>
          <w:p w:rsidR="001670EC" w:rsidRPr="0013240B" w:rsidRDefault="001670EC" w:rsidP="0013240B">
            <w:pPr>
              <w:spacing w:after="0" w:line="240" w:lineRule="auto"/>
              <w:jc w:val="right"/>
              <w:rPr>
                <w:color w:val="000000"/>
                <w:sz w:val="18"/>
                <w:szCs w:val="18"/>
              </w:rPr>
            </w:pPr>
            <w:r w:rsidRPr="0013240B">
              <w:rPr>
                <w:color w:val="000000"/>
                <w:sz w:val="18"/>
                <w:szCs w:val="18"/>
              </w:rPr>
              <w:t>287.3</w:t>
            </w:r>
          </w:p>
        </w:tc>
      </w:tr>
      <w:tr w:rsidR="001670EC" w:rsidRPr="00680D98" w:rsidTr="0036619D">
        <w:trPr>
          <w:trHeight w:val="104"/>
        </w:trPr>
        <w:tc>
          <w:tcPr>
            <w:tcW w:w="9558" w:type="dxa"/>
            <w:gridSpan w:val="5"/>
            <w:tcBorders>
              <w:top w:val="single" w:sz="4" w:space="0" w:color="auto"/>
              <w:left w:val="single" w:sz="8" w:space="0" w:color="auto"/>
              <w:bottom w:val="double" w:sz="6" w:space="0" w:color="auto"/>
              <w:right w:val="single" w:sz="8" w:space="0" w:color="auto"/>
            </w:tcBorders>
            <w:shd w:val="clear" w:color="000000" w:fill="BFBFBF"/>
            <w:vAlign w:val="bottom"/>
          </w:tcPr>
          <w:p w:rsidR="001670EC" w:rsidRDefault="001670EC" w:rsidP="0013240B">
            <w:pPr>
              <w:spacing w:after="0" w:line="240" w:lineRule="auto"/>
              <w:jc w:val="center"/>
              <w:rPr>
                <w:b/>
                <w:bCs/>
                <w:color w:val="000000"/>
              </w:rPr>
            </w:pPr>
          </w:p>
          <w:p w:rsidR="001670EC" w:rsidRPr="0013240B" w:rsidRDefault="001670EC" w:rsidP="00851356">
            <w:pPr>
              <w:spacing w:after="0" w:line="240" w:lineRule="auto"/>
              <w:jc w:val="center"/>
              <w:rPr>
                <w:b/>
                <w:bCs/>
                <w:color w:val="000000"/>
              </w:rPr>
            </w:pPr>
            <w:r w:rsidRPr="0013240B">
              <w:rPr>
                <w:b/>
                <w:bCs/>
                <w:color w:val="000000"/>
              </w:rPr>
              <w:t>Other Indicators</w:t>
            </w:r>
          </w:p>
        </w:tc>
      </w:tr>
      <w:tr w:rsidR="001670EC" w:rsidRPr="00680D98" w:rsidTr="003311B5">
        <w:trPr>
          <w:trHeight w:val="108"/>
        </w:trPr>
        <w:tc>
          <w:tcPr>
            <w:tcW w:w="4177" w:type="dxa"/>
            <w:tcBorders>
              <w:top w:val="single" w:sz="8" w:space="0" w:color="auto"/>
              <w:left w:val="single" w:sz="8" w:space="0" w:color="auto"/>
              <w:bottom w:val="nil"/>
              <w:right w:val="single" w:sz="8" w:space="0" w:color="auto"/>
            </w:tcBorders>
            <w:shd w:val="clear" w:color="000000" w:fill="A5A5A5"/>
            <w:vAlign w:val="bottom"/>
          </w:tcPr>
          <w:p w:rsidR="001670EC" w:rsidRPr="009A7CED" w:rsidRDefault="001670EC" w:rsidP="009A7CED">
            <w:pPr>
              <w:spacing w:after="0" w:line="240" w:lineRule="auto"/>
              <w:rPr>
                <w:color w:val="000000"/>
              </w:rPr>
            </w:pPr>
            <w:r w:rsidRPr="009A7CED">
              <w:rPr>
                <w:color w:val="000000"/>
              </w:rPr>
              <w:t> </w:t>
            </w:r>
          </w:p>
        </w:tc>
        <w:tc>
          <w:tcPr>
            <w:tcW w:w="0" w:type="auto"/>
            <w:gridSpan w:val="3"/>
            <w:tcBorders>
              <w:top w:val="single" w:sz="8" w:space="0" w:color="auto"/>
              <w:left w:val="nil"/>
              <w:bottom w:val="nil"/>
              <w:right w:val="single" w:sz="8" w:space="0" w:color="000000"/>
            </w:tcBorders>
            <w:shd w:val="clear" w:color="000000" w:fill="A5A5A5"/>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Number Per Year</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Average Rate, Ratio or Percentage for the Listed Years</w:t>
            </w:r>
          </w:p>
        </w:tc>
      </w:tr>
      <w:tr w:rsidR="001670EC" w:rsidRPr="00680D98" w:rsidTr="003311B5">
        <w:trPr>
          <w:trHeight w:val="108"/>
        </w:trPr>
        <w:tc>
          <w:tcPr>
            <w:tcW w:w="4177" w:type="dxa"/>
            <w:tcBorders>
              <w:top w:val="nil"/>
              <w:left w:val="single" w:sz="8" w:space="0" w:color="auto"/>
              <w:bottom w:val="nil"/>
              <w:right w:val="single" w:sz="8" w:space="0" w:color="auto"/>
            </w:tcBorders>
            <w:shd w:val="clear" w:color="000000" w:fill="A5A5A5"/>
            <w:vAlign w:val="bottom"/>
          </w:tcPr>
          <w:p w:rsidR="001670EC" w:rsidRPr="009A7CED" w:rsidRDefault="001670EC" w:rsidP="009A7CED">
            <w:pPr>
              <w:spacing w:after="0" w:line="240" w:lineRule="auto"/>
              <w:jc w:val="center"/>
              <w:rPr>
                <w:b/>
                <w:bCs/>
                <w:color w:val="000000"/>
              </w:rPr>
            </w:pPr>
            <w:r w:rsidRPr="009A7CED">
              <w:rPr>
                <w:b/>
                <w:bCs/>
                <w:color w:val="000000"/>
              </w:rPr>
              <w:t> </w:t>
            </w:r>
          </w:p>
        </w:tc>
        <w:tc>
          <w:tcPr>
            <w:tcW w:w="0" w:type="auto"/>
            <w:gridSpan w:val="3"/>
            <w:tcBorders>
              <w:top w:val="nil"/>
              <w:left w:val="nil"/>
              <w:bottom w:val="single" w:sz="4" w:space="0" w:color="auto"/>
              <w:right w:val="single" w:sz="8" w:space="0" w:color="000000"/>
            </w:tcBorders>
            <w:shd w:val="clear" w:color="000000" w:fill="A5A5A5"/>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(If Available)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9A7CED" w:rsidRDefault="001670EC" w:rsidP="009A7CED">
            <w:pPr>
              <w:spacing w:after="0" w:line="240" w:lineRule="auto"/>
              <w:rPr>
                <w:b/>
                <w:bCs/>
                <w:color w:val="000000"/>
                <w:sz w:val="20"/>
                <w:szCs w:val="20"/>
              </w:rPr>
            </w:pPr>
          </w:p>
        </w:tc>
      </w:tr>
      <w:tr w:rsidR="001670EC" w:rsidRPr="00680D98" w:rsidTr="003311B5">
        <w:trPr>
          <w:trHeight w:val="100"/>
        </w:trPr>
        <w:tc>
          <w:tcPr>
            <w:tcW w:w="4177" w:type="dxa"/>
            <w:tcBorders>
              <w:top w:val="nil"/>
              <w:left w:val="single" w:sz="8" w:space="0" w:color="auto"/>
              <w:bottom w:val="single" w:sz="4" w:space="0" w:color="auto"/>
              <w:right w:val="single" w:sz="8" w:space="0" w:color="auto"/>
            </w:tcBorders>
            <w:shd w:val="clear" w:color="000000" w:fill="A5A5A5"/>
            <w:vAlign w:val="bottom"/>
          </w:tcPr>
          <w:p w:rsidR="001670EC" w:rsidRPr="009A7CED" w:rsidRDefault="001670EC" w:rsidP="009A7CED">
            <w:pPr>
              <w:spacing w:after="0" w:line="240" w:lineRule="auto"/>
              <w:rPr>
                <w:color w:val="000000"/>
              </w:rPr>
            </w:pPr>
            <w:r w:rsidRPr="009A7CED">
              <w:rPr>
                <w:color w:val="000000"/>
              </w:rPr>
              <w:t> </w:t>
            </w:r>
            <w:r w:rsidRPr="009A7CED">
              <w:rPr>
                <w:b/>
                <w:bCs/>
                <w:color w:val="000000"/>
              </w:rPr>
              <w:t>Focus Area: Reduce Illness, Disability, and Death Related to Tobacco Use and Secondhand Smoke Exposure</w:t>
            </w:r>
          </w:p>
        </w:tc>
        <w:tc>
          <w:tcPr>
            <w:tcW w:w="0" w:type="auto"/>
            <w:tcBorders>
              <w:top w:val="nil"/>
              <w:left w:val="nil"/>
              <w:bottom w:val="single" w:sz="4" w:space="0" w:color="auto"/>
              <w:right w:val="single" w:sz="4" w:space="0" w:color="auto"/>
            </w:tcBorders>
            <w:shd w:val="clear" w:color="000000" w:fill="A5A5A5"/>
            <w:noWrap/>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Two</w:t>
            </w:r>
          </w:p>
        </w:tc>
        <w:tc>
          <w:tcPr>
            <w:tcW w:w="0" w:type="auto"/>
            <w:tcBorders>
              <w:top w:val="nil"/>
              <w:left w:val="nil"/>
              <w:bottom w:val="single" w:sz="4" w:space="0" w:color="auto"/>
              <w:right w:val="single" w:sz="8" w:space="0" w:color="auto"/>
            </w:tcBorders>
            <w:shd w:val="clear" w:color="000000" w:fill="A5A5A5"/>
            <w:noWrap/>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Three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9A7CED" w:rsidRDefault="001670EC" w:rsidP="009A7CED">
            <w:pPr>
              <w:spacing w:after="0" w:line="240" w:lineRule="auto"/>
              <w:rPr>
                <w:b/>
                <w:bCs/>
                <w:color w:val="000000"/>
              </w:rPr>
            </w:pPr>
          </w:p>
        </w:tc>
      </w:tr>
      <w:tr w:rsidR="001670EC" w:rsidRPr="00680D98" w:rsidTr="003311B5">
        <w:trPr>
          <w:trHeight w:val="100"/>
        </w:trPr>
        <w:tc>
          <w:tcPr>
            <w:tcW w:w="4177" w:type="dxa"/>
            <w:tcBorders>
              <w:top w:val="nil"/>
              <w:left w:val="single" w:sz="8" w:space="0" w:color="auto"/>
              <w:bottom w:val="single" w:sz="4" w:space="0" w:color="auto"/>
              <w:right w:val="nil"/>
            </w:tcBorders>
            <w:shd w:val="clear" w:color="000000" w:fill="FFFFFF"/>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Prevention Agenda Indicators</w:t>
            </w:r>
          </w:p>
        </w:tc>
        <w:tc>
          <w:tcPr>
            <w:tcW w:w="0" w:type="auto"/>
            <w:gridSpan w:val="4"/>
            <w:tcBorders>
              <w:top w:val="single" w:sz="4" w:space="0" w:color="auto"/>
              <w:left w:val="single" w:sz="8" w:space="0" w:color="auto"/>
              <w:bottom w:val="single" w:sz="4" w:space="0" w:color="auto"/>
              <w:right w:val="single" w:sz="8" w:space="0" w:color="auto"/>
            </w:tcBorders>
            <w:shd w:val="clear" w:color="000000" w:fill="FFFFFF"/>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r>
      <w:tr w:rsidR="001670EC" w:rsidRPr="00680D98" w:rsidTr="003311B5">
        <w:trPr>
          <w:trHeight w:val="100"/>
        </w:trPr>
        <w:tc>
          <w:tcPr>
            <w:tcW w:w="4177" w:type="dxa"/>
            <w:tcBorders>
              <w:top w:val="nil"/>
              <w:left w:val="single" w:sz="8" w:space="0" w:color="auto"/>
              <w:bottom w:val="single" w:sz="4" w:space="0" w:color="BFBFBF"/>
              <w:right w:val="nil"/>
            </w:tcBorders>
            <w:shd w:val="clear" w:color="000000" w:fill="FFFFFF"/>
            <w:vAlign w:val="bottom"/>
          </w:tcPr>
          <w:p w:rsidR="001670EC" w:rsidRPr="009A7CED" w:rsidRDefault="001670EC" w:rsidP="009A7CED">
            <w:pPr>
              <w:spacing w:after="0" w:line="240" w:lineRule="auto"/>
              <w:rPr>
                <w:color w:val="000000"/>
                <w:sz w:val="18"/>
                <w:szCs w:val="18"/>
              </w:rPr>
            </w:pPr>
            <w:r w:rsidRPr="009A7CED">
              <w:rPr>
                <w:color w:val="000000"/>
                <w:sz w:val="18"/>
                <w:szCs w:val="18"/>
              </w:rPr>
              <w:t>1. Percentage of Adults Ages 18 Plus Who Smoke '08/09</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auto" w:fill="FFFF00"/>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24.6%</w:t>
            </w:r>
          </w:p>
        </w:tc>
      </w:tr>
      <w:tr w:rsidR="001670EC" w:rsidRPr="00680D98" w:rsidTr="0036619D">
        <w:trPr>
          <w:trHeight w:val="100"/>
        </w:trPr>
        <w:tc>
          <w:tcPr>
            <w:tcW w:w="9558" w:type="dxa"/>
            <w:gridSpan w:val="5"/>
            <w:tcBorders>
              <w:top w:val="single" w:sz="4" w:space="0" w:color="auto"/>
              <w:left w:val="single" w:sz="8" w:space="0" w:color="auto"/>
              <w:bottom w:val="single" w:sz="4" w:space="0" w:color="auto"/>
              <w:right w:val="single" w:sz="8" w:space="0" w:color="auto"/>
            </w:tcBorders>
            <w:shd w:val="clear" w:color="000000" w:fill="BFBFBF"/>
            <w:vAlign w:val="bottom"/>
          </w:tcPr>
          <w:p w:rsidR="001670EC" w:rsidRPr="009A7CED" w:rsidRDefault="001670EC" w:rsidP="009A7CED">
            <w:pPr>
              <w:spacing w:after="0" w:line="240" w:lineRule="auto"/>
              <w:jc w:val="center"/>
              <w:rPr>
                <w:b/>
                <w:bCs/>
                <w:color w:val="000000"/>
              </w:rPr>
            </w:pPr>
            <w:r w:rsidRPr="009A7CED">
              <w:rPr>
                <w:b/>
                <w:bCs/>
                <w:color w:val="000000"/>
              </w:rPr>
              <w:t>Prevention Agenda Indicators</w:t>
            </w:r>
          </w:p>
        </w:tc>
      </w:tr>
      <w:tr w:rsidR="001670EC" w:rsidRPr="00680D98" w:rsidTr="003311B5">
        <w:trPr>
          <w:trHeight w:val="100"/>
        </w:trPr>
        <w:tc>
          <w:tcPr>
            <w:tcW w:w="4177" w:type="dxa"/>
            <w:tcBorders>
              <w:top w:val="nil"/>
              <w:left w:val="single" w:sz="8" w:space="0" w:color="auto"/>
              <w:bottom w:val="single" w:sz="4" w:space="0" w:color="auto"/>
              <w:right w:val="nil"/>
            </w:tcBorders>
            <w:shd w:val="clear" w:color="000000" w:fill="FFFFFF"/>
            <w:vAlign w:val="bottom"/>
          </w:tcPr>
          <w:p w:rsidR="001670EC" w:rsidRPr="009A7CED" w:rsidRDefault="001670EC" w:rsidP="009A7CED">
            <w:pPr>
              <w:spacing w:after="0" w:line="240" w:lineRule="auto"/>
              <w:jc w:val="center"/>
              <w:rPr>
                <w:b/>
                <w:bCs/>
                <w:color w:val="000000"/>
                <w:sz w:val="18"/>
                <w:szCs w:val="18"/>
              </w:rPr>
            </w:pPr>
            <w:r w:rsidRPr="009A7CED">
              <w:rPr>
                <w:b/>
                <w:bCs/>
                <w:color w:val="000000"/>
                <w:sz w:val="18"/>
                <w:szCs w:val="18"/>
              </w:rPr>
              <w:t>Other Indicators</w:t>
            </w:r>
          </w:p>
        </w:tc>
        <w:tc>
          <w:tcPr>
            <w:tcW w:w="0" w:type="auto"/>
            <w:gridSpan w:val="4"/>
            <w:tcBorders>
              <w:top w:val="nil"/>
              <w:left w:val="single" w:sz="8" w:space="0" w:color="auto"/>
              <w:bottom w:val="single" w:sz="4" w:space="0" w:color="auto"/>
              <w:right w:val="single" w:sz="8" w:space="0" w:color="auto"/>
            </w:tcBorders>
            <w:shd w:val="clear" w:color="000000" w:fill="FFFFFF"/>
            <w:vAlign w:val="bottom"/>
          </w:tcPr>
          <w:p w:rsidR="001670EC" w:rsidRPr="009A7CED" w:rsidRDefault="001670EC" w:rsidP="009A7CED">
            <w:pPr>
              <w:spacing w:after="0" w:line="240" w:lineRule="auto"/>
              <w:jc w:val="center"/>
              <w:rPr>
                <w:color w:val="000000"/>
                <w:sz w:val="18"/>
                <w:szCs w:val="18"/>
              </w:rPr>
            </w:pPr>
            <w:r w:rsidRPr="009A7CED">
              <w:rPr>
                <w:color w:val="000000"/>
                <w:sz w:val="18"/>
                <w:szCs w:val="18"/>
              </w:rPr>
              <w:t> </w:t>
            </w:r>
          </w:p>
        </w:tc>
      </w:tr>
      <w:tr w:rsidR="001670EC" w:rsidRPr="00680D98" w:rsidTr="003311B5">
        <w:trPr>
          <w:trHeight w:val="199"/>
        </w:trPr>
        <w:tc>
          <w:tcPr>
            <w:tcW w:w="4177" w:type="dxa"/>
            <w:tcBorders>
              <w:top w:val="nil"/>
              <w:left w:val="single" w:sz="8" w:space="0" w:color="auto"/>
              <w:bottom w:val="single" w:sz="4" w:space="0" w:color="BFBFBF"/>
              <w:right w:val="nil"/>
            </w:tcBorders>
            <w:shd w:val="clear" w:color="000000" w:fill="FFFFFF"/>
            <w:vAlign w:val="bottom"/>
          </w:tcPr>
          <w:p w:rsidR="001670EC" w:rsidRPr="009A7CED" w:rsidRDefault="001670EC" w:rsidP="009A7CED">
            <w:pPr>
              <w:spacing w:after="0" w:line="240" w:lineRule="auto"/>
              <w:rPr>
                <w:color w:val="000000"/>
                <w:sz w:val="18"/>
                <w:szCs w:val="18"/>
              </w:rPr>
            </w:pPr>
            <w:r w:rsidRPr="009A7CED">
              <w:rPr>
                <w:color w:val="000000"/>
                <w:sz w:val="18"/>
                <w:szCs w:val="18"/>
              </w:rPr>
              <w:t>1. Rate of Chronic Lower Respiratory Disease Deaths per 100,000 Population,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41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43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57</w:t>
            </w:r>
          </w:p>
        </w:tc>
        <w:tc>
          <w:tcPr>
            <w:tcW w:w="0" w:type="auto"/>
            <w:tcBorders>
              <w:top w:val="nil"/>
              <w:left w:val="nil"/>
              <w:bottom w:val="single" w:sz="4" w:space="0" w:color="BFBFBF"/>
              <w:right w:val="single" w:sz="8" w:space="0" w:color="auto"/>
            </w:tcBorders>
            <w:shd w:val="clear" w:color="auto" w:fill="FFFF00"/>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85.1</w:t>
            </w:r>
          </w:p>
        </w:tc>
      </w:tr>
      <w:tr w:rsidR="001670EC" w:rsidRPr="00680D98" w:rsidTr="003311B5">
        <w:trPr>
          <w:trHeight w:val="199"/>
        </w:trPr>
        <w:tc>
          <w:tcPr>
            <w:tcW w:w="4177" w:type="dxa"/>
            <w:tcBorders>
              <w:top w:val="nil"/>
              <w:left w:val="single" w:sz="8" w:space="0" w:color="auto"/>
              <w:bottom w:val="single" w:sz="4" w:space="0" w:color="D8D8D8"/>
              <w:right w:val="nil"/>
            </w:tcBorders>
            <w:shd w:val="clear" w:color="000000" w:fill="FFFFFF"/>
            <w:vAlign w:val="bottom"/>
          </w:tcPr>
          <w:p w:rsidR="001670EC" w:rsidRPr="009A7CED" w:rsidRDefault="001670EC" w:rsidP="009A7CED">
            <w:pPr>
              <w:spacing w:after="0" w:line="240" w:lineRule="auto"/>
              <w:rPr>
                <w:color w:val="000000"/>
                <w:sz w:val="18"/>
                <w:szCs w:val="18"/>
              </w:rPr>
            </w:pPr>
            <w:r w:rsidRPr="009A7CED">
              <w:rPr>
                <w:color w:val="000000"/>
                <w:sz w:val="18"/>
                <w:szCs w:val="18"/>
              </w:rPr>
              <w:t>2. Rate of Chronic Lower Respiratory Disease Hospitalizations per 10,000 population, '08 - 10</w:t>
            </w:r>
          </w:p>
        </w:tc>
        <w:tc>
          <w:tcPr>
            <w:tcW w:w="0" w:type="auto"/>
            <w:tcBorders>
              <w:top w:val="nil"/>
              <w:left w:val="single" w:sz="8" w:space="0" w:color="auto"/>
              <w:bottom w:val="single" w:sz="4" w:space="0" w:color="D8D8D8"/>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326</w:t>
            </w:r>
          </w:p>
        </w:tc>
        <w:tc>
          <w:tcPr>
            <w:tcW w:w="0" w:type="auto"/>
            <w:tcBorders>
              <w:top w:val="nil"/>
              <w:left w:val="nil"/>
              <w:bottom w:val="single" w:sz="4" w:space="0" w:color="D8D8D8"/>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398</w:t>
            </w:r>
          </w:p>
        </w:tc>
        <w:tc>
          <w:tcPr>
            <w:tcW w:w="0" w:type="auto"/>
            <w:tcBorders>
              <w:top w:val="nil"/>
              <w:left w:val="nil"/>
              <w:bottom w:val="single" w:sz="4" w:space="0" w:color="D8D8D8"/>
              <w:right w:val="single" w:sz="8"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340</w:t>
            </w:r>
          </w:p>
        </w:tc>
        <w:tc>
          <w:tcPr>
            <w:tcW w:w="0" w:type="auto"/>
            <w:tcBorders>
              <w:top w:val="nil"/>
              <w:left w:val="nil"/>
              <w:bottom w:val="single" w:sz="4" w:space="0" w:color="D8D8D8"/>
              <w:right w:val="single" w:sz="8" w:space="0" w:color="auto"/>
            </w:tcBorders>
            <w:shd w:val="clear" w:color="auto" w:fill="FFFF00"/>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64.2</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3. Rate of Asthma Deaths per 100,000 Population, '08 - 10</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0</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0</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1.2</w:t>
            </w:r>
          </w:p>
        </w:tc>
      </w:tr>
      <w:tr w:rsidR="001670EC" w:rsidRPr="00680D98" w:rsidTr="003311B5">
        <w:trPr>
          <w:trHeight w:val="199"/>
        </w:trPr>
        <w:tc>
          <w:tcPr>
            <w:tcW w:w="4177" w:type="dxa"/>
            <w:tcBorders>
              <w:top w:val="nil"/>
              <w:left w:val="single" w:sz="8" w:space="0" w:color="auto"/>
              <w:bottom w:val="single" w:sz="4" w:space="0" w:color="BFBFBF"/>
              <w:right w:val="nil"/>
            </w:tcBorders>
            <w:shd w:val="clear" w:color="000000" w:fill="FFFFFF"/>
            <w:vAlign w:val="bottom"/>
          </w:tcPr>
          <w:p w:rsidR="001670EC" w:rsidRPr="009A7CED" w:rsidRDefault="001670EC" w:rsidP="009A7CED">
            <w:pPr>
              <w:spacing w:after="0" w:line="240" w:lineRule="auto"/>
              <w:rPr>
                <w:color w:val="000000"/>
                <w:sz w:val="18"/>
                <w:szCs w:val="18"/>
              </w:rPr>
            </w:pPr>
            <w:r w:rsidRPr="009A7CED">
              <w:rPr>
                <w:color w:val="000000"/>
                <w:sz w:val="18"/>
                <w:szCs w:val="18"/>
              </w:rPr>
              <w:t>4. Rate of Asthma Hospitalizations per 10,000 Population,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88</w:t>
            </w:r>
          </w:p>
        </w:tc>
        <w:tc>
          <w:tcPr>
            <w:tcW w:w="0" w:type="auto"/>
            <w:tcBorders>
              <w:top w:val="nil"/>
              <w:left w:val="nil"/>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120</w:t>
            </w:r>
          </w:p>
        </w:tc>
        <w:tc>
          <w:tcPr>
            <w:tcW w:w="0" w:type="auto"/>
            <w:tcBorders>
              <w:top w:val="nil"/>
              <w:left w:val="nil"/>
              <w:bottom w:val="single" w:sz="4" w:space="0" w:color="BFBFBF"/>
              <w:right w:val="single" w:sz="8"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93</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18.2</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5. Rate of Asthma Hospitalizations, Ages 25 - 44, per 10,000 Population Ages 25 - 44,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18</w:t>
            </w:r>
          </w:p>
        </w:tc>
        <w:tc>
          <w:tcPr>
            <w:tcW w:w="0" w:type="auto"/>
            <w:tcBorders>
              <w:top w:val="nil"/>
              <w:left w:val="nil"/>
              <w:bottom w:val="single" w:sz="4" w:space="0" w:color="BFBFBF"/>
              <w:right w:val="single" w:sz="4"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25</w:t>
            </w:r>
          </w:p>
        </w:tc>
        <w:tc>
          <w:tcPr>
            <w:tcW w:w="0" w:type="auto"/>
            <w:tcBorders>
              <w:top w:val="nil"/>
              <w:left w:val="nil"/>
              <w:bottom w:val="single" w:sz="4" w:space="0" w:color="BFBFBF"/>
              <w:right w:val="single" w:sz="8" w:space="0" w:color="auto"/>
            </w:tcBorders>
            <w:shd w:val="clear" w:color="000000" w:fill="FFFFFF"/>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15</w:t>
            </w:r>
          </w:p>
        </w:tc>
        <w:tc>
          <w:tcPr>
            <w:tcW w:w="0" w:type="auto"/>
            <w:tcBorders>
              <w:top w:val="nil"/>
              <w:left w:val="nil"/>
              <w:bottom w:val="single" w:sz="4" w:space="0" w:color="BFBFBF"/>
              <w:right w:val="single" w:sz="8" w:space="0" w:color="auto"/>
            </w:tcBorders>
            <w:shd w:val="clear" w:color="auto" w:fill="FFFF00"/>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3.5</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6. Rate of Asthma Hospitalizations, Ages 45 - 64, per 10,000 Population Ages 45 - 64, '08 - 10</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22</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23</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20</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3.9</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7. Rate of Asthma Hospitalizations, Ages 65 Plus, per 10,000 Population Ages 65 Plus, '08 - 10</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13</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18</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20</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3.1</w:t>
            </w:r>
          </w:p>
        </w:tc>
      </w:tr>
      <w:tr w:rsidR="001670EC" w:rsidRPr="00680D98" w:rsidTr="003311B5">
        <w:trPr>
          <w:trHeight w:val="100"/>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8. Percentage of Adults with Asthma, '08/09</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12.5%</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9. Rate of Lung and Bronchus Deaths per 100,000 Population, '07 - 09</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41</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35</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38</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69.0</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10. Rate of Lung and Bronchus Cases per 100,000 Population, '07- 09</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65</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45</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58</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101.7</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11. Number of Registered Tobacco Vendors per 100,000 Population, '09 - 10</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88.8</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12. Percentage of Vendors with Sales to Minors Violations, '09 - 10</w:t>
            </w:r>
          </w:p>
        </w:tc>
        <w:tc>
          <w:tcPr>
            <w:tcW w:w="0" w:type="auto"/>
            <w:tcBorders>
              <w:top w:val="nil"/>
              <w:left w:val="single" w:sz="8" w:space="0" w:color="auto"/>
              <w:bottom w:val="single" w:sz="4" w:space="0" w:color="BFBFBF"/>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single" w:sz="4" w:space="0" w:color="BFBFBF"/>
              <w:left w:val="nil"/>
              <w:bottom w:val="single" w:sz="4" w:space="0" w:color="BFBFBF"/>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2.0%</w:t>
            </w:r>
          </w:p>
        </w:tc>
      </w:tr>
      <w:tr w:rsidR="001670EC" w:rsidRPr="00680D98" w:rsidTr="003311B5">
        <w:trPr>
          <w:trHeight w:val="100"/>
        </w:trPr>
        <w:tc>
          <w:tcPr>
            <w:tcW w:w="4177" w:type="dxa"/>
            <w:tcBorders>
              <w:top w:val="nil"/>
              <w:left w:val="single" w:sz="8" w:space="0" w:color="auto"/>
              <w:bottom w:val="single" w:sz="4" w:space="0" w:color="auto"/>
              <w:right w:val="nil"/>
            </w:tcBorders>
            <w:vAlign w:val="bottom"/>
          </w:tcPr>
          <w:p w:rsidR="001670EC" w:rsidRPr="009A7CED" w:rsidRDefault="001670EC" w:rsidP="009A7CED">
            <w:pPr>
              <w:spacing w:after="0" w:line="240" w:lineRule="auto"/>
              <w:rPr>
                <w:color w:val="000000"/>
                <w:sz w:val="18"/>
                <w:szCs w:val="18"/>
              </w:rPr>
            </w:pPr>
            <w:r w:rsidRPr="009A7CED">
              <w:rPr>
                <w:color w:val="000000"/>
                <w:sz w:val="18"/>
                <w:szCs w:val="18"/>
              </w:rPr>
              <w:t>13. Percentage of Vendors with Complaints, '09 - 10</w:t>
            </w:r>
          </w:p>
        </w:tc>
        <w:tc>
          <w:tcPr>
            <w:tcW w:w="0" w:type="auto"/>
            <w:tcBorders>
              <w:top w:val="nil"/>
              <w:left w:val="single" w:sz="8" w:space="0" w:color="auto"/>
              <w:bottom w:val="single" w:sz="4" w:space="0" w:color="auto"/>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auto"/>
              <w:right w:val="single" w:sz="4"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nil"/>
              <w:left w:val="nil"/>
              <w:bottom w:val="single" w:sz="4" w:space="0" w:color="auto"/>
              <w:right w:val="single" w:sz="8" w:space="0" w:color="auto"/>
            </w:tcBorders>
            <w:noWrap/>
            <w:vAlign w:val="bottom"/>
          </w:tcPr>
          <w:p w:rsidR="001670EC" w:rsidRPr="009A7CED" w:rsidRDefault="001670EC" w:rsidP="009A7CED">
            <w:pPr>
              <w:spacing w:after="0" w:line="240" w:lineRule="auto"/>
              <w:rPr>
                <w:color w:val="000000"/>
                <w:sz w:val="18"/>
                <w:szCs w:val="18"/>
              </w:rPr>
            </w:pPr>
            <w:r w:rsidRPr="009A7CED">
              <w:rPr>
                <w:color w:val="000000"/>
                <w:sz w:val="18"/>
                <w:szCs w:val="18"/>
              </w:rPr>
              <w:t> </w:t>
            </w:r>
          </w:p>
        </w:tc>
        <w:tc>
          <w:tcPr>
            <w:tcW w:w="0" w:type="auto"/>
            <w:tcBorders>
              <w:top w:val="single" w:sz="4" w:space="0" w:color="BFBFBF"/>
              <w:left w:val="nil"/>
              <w:bottom w:val="single" w:sz="4" w:space="0" w:color="auto"/>
              <w:right w:val="single" w:sz="8" w:space="0" w:color="auto"/>
            </w:tcBorders>
            <w:noWrap/>
            <w:vAlign w:val="bottom"/>
          </w:tcPr>
          <w:p w:rsidR="001670EC" w:rsidRPr="009A7CED" w:rsidRDefault="001670EC" w:rsidP="009A7CED">
            <w:pPr>
              <w:spacing w:after="0" w:line="240" w:lineRule="auto"/>
              <w:jc w:val="right"/>
              <w:rPr>
                <w:color w:val="000000"/>
                <w:sz w:val="18"/>
                <w:szCs w:val="18"/>
              </w:rPr>
            </w:pPr>
            <w:r w:rsidRPr="009A7CED">
              <w:rPr>
                <w:color w:val="000000"/>
                <w:sz w:val="18"/>
                <w:szCs w:val="18"/>
              </w:rPr>
              <w:t>0.0%</w:t>
            </w:r>
          </w:p>
        </w:tc>
      </w:tr>
      <w:tr w:rsidR="001670EC" w:rsidRPr="00680D98" w:rsidTr="0036619D">
        <w:trPr>
          <w:trHeight w:val="104"/>
        </w:trPr>
        <w:tc>
          <w:tcPr>
            <w:tcW w:w="9558" w:type="dxa"/>
            <w:gridSpan w:val="5"/>
            <w:tcBorders>
              <w:top w:val="single" w:sz="4" w:space="0" w:color="auto"/>
              <w:left w:val="single" w:sz="8" w:space="0" w:color="auto"/>
              <w:bottom w:val="double" w:sz="6" w:space="0" w:color="auto"/>
              <w:right w:val="single" w:sz="8" w:space="0" w:color="auto"/>
            </w:tcBorders>
            <w:shd w:val="clear" w:color="000000" w:fill="BFBFBF"/>
            <w:vAlign w:val="bottom"/>
          </w:tcPr>
          <w:p w:rsidR="001670EC" w:rsidRPr="009A7CED" w:rsidRDefault="001670EC" w:rsidP="009A7CED">
            <w:pPr>
              <w:spacing w:after="0" w:line="240" w:lineRule="auto"/>
              <w:jc w:val="center"/>
              <w:rPr>
                <w:b/>
                <w:bCs/>
                <w:color w:val="000000"/>
              </w:rPr>
            </w:pPr>
            <w:r w:rsidRPr="009A7CED">
              <w:rPr>
                <w:b/>
                <w:bCs/>
                <w:color w:val="000000"/>
              </w:rPr>
              <w:t>Other Indicators</w:t>
            </w:r>
          </w:p>
        </w:tc>
      </w:tr>
      <w:tr w:rsidR="001670EC" w:rsidRPr="00680D98" w:rsidTr="0036619D">
        <w:trPr>
          <w:trHeight w:val="108"/>
        </w:trPr>
        <w:tc>
          <w:tcPr>
            <w:tcW w:w="9558" w:type="dxa"/>
            <w:gridSpan w:val="5"/>
            <w:tcBorders>
              <w:top w:val="double" w:sz="6" w:space="0" w:color="auto"/>
              <w:left w:val="single" w:sz="8" w:space="0" w:color="auto"/>
              <w:bottom w:val="double" w:sz="6" w:space="0" w:color="auto"/>
              <w:right w:val="single" w:sz="8" w:space="0" w:color="auto"/>
            </w:tcBorders>
            <w:shd w:val="clear" w:color="000000" w:fill="A5A5A5"/>
            <w:vAlign w:val="bottom"/>
          </w:tcPr>
          <w:p w:rsidR="001670EC" w:rsidRDefault="001670EC" w:rsidP="005368ED">
            <w:pPr>
              <w:spacing w:after="0" w:line="240" w:lineRule="auto"/>
              <w:rPr>
                <w:b/>
                <w:bCs/>
                <w:color w:val="000000"/>
                <w:sz w:val="18"/>
                <w:szCs w:val="18"/>
              </w:rPr>
            </w:pPr>
          </w:p>
          <w:p w:rsidR="001670EC" w:rsidRPr="009A7CED" w:rsidRDefault="001670EC" w:rsidP="00BC49EF">
            <w:pPr>
              <w:spacing w:after="0" w:line="240" w:lineRule="auto"/>
              <w:jc w:val="center"/>
              <w:rPr>
                <w:b/>
                <w:bCs/>
                <w:color w:val="000000"/>
                <w:sz w:val="18"/>
                <w:szCs w:val="18"/>
              </w:rPr>
            </w:pPr>
            <w:r w:rsidRPr="009A7CED">
              <w:rPr>
                <w:b/>
                <w:bCs/>
                <w:color w:val="000000"/>
                <w:sz w:val="18"/>
                <w:szCs w:val="18"/>
              </w:rPr>
              <w:t>Focus Area Reduce Illness, Disability, and Death Related to Tobacco Use &amp; Secondhand Smoke Exposure</w:t>
            </w:r>
          </w:p>
        </w:tc>
      </w:tr>
      <w:tr w:rsidR="001670EC" w:rsidRPr="00680D98" w:rsidTr="003311B5">
        <w:trPr>
          <w:trHeight w:val="108"/>
        </w:trPr>
        <w:tc>
          <w:tcPr>
            <w:tcW w:w="4177" w:type="dxa"/>
            <w:tcBorders>
              <w:top w:val="single" w:sz="8" w:space="0" w:color="auto"/>
              <w:left w:val="single" w:sz="8" w:space="0" w:color="auto"/>
              <w:bottom w:val="nil"/>
              <w:right w:val="single" w:sz="8" w:space="0" w:color="auto"/>
            </w:tcBorders>
            <w:shd w:val="clear" w:color="000000" w:fill="A5A5A5"/>
            <w:vAlign w:val="bottom"/>
          </w:tcPr>
          <w:p w:rsidR="001670EC" w:rsidRPr="00BC49EF" w:rsidRDefault="001670EC" w:rsidP="00BC49EF">
            <w:pPr>
              <w:spacing w:after="0" w:line="240" w:lineRule="auto"/>
              <w:rPr>
                <w:color w:val="000000"/>
              </w:rPr>
            </w:pPr>
          </w:p>
        </w:tc>
        <w:tc>
          <w:tcPr>
            <w:tcW w:w="0" w:type="auto"/>
            <w:gridSpan w:val="3"/>
            <w:tcBorders>
              <w:top w:val="single" w:sz="8" w:space="0" w:color="auto"/>
              <w:left w:val="nil"/>
              <w:bottom w:val="nil"/>
              <w:right w:val="single" w:sz="8" w:space="0" w:color="000000"/>
            </w:tcBorders>
            <w:shd w:val="clear" w:color="000000" w:fill="A5A5A5"/>
            <w:vAlign w:val="bottom"/>
          </w:tcPr>
          <w:p w:rsidR="001670EC" w:rsidRDefault="001670EC" w:rsidP="00851356">
            <w:pPr>
              <w:spacing w:after="0" w:line="240" w:lineRule="auto"/>
              <w:rPr>
                <w:b/>
                <w:bCs/>
                <w:color w:val="000000"/>
                <w:sz w:val="18"/>
                <w:szCs w:val="18"/>
              </w:rPr>
            </w:pPr>
          </w:p>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Number Per Year</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Default="001670EC" w:rsidP="00851356">
            <w:pPr>
              <w:spacing w:after="0" w:line="240" w:lineRule="auto"/>
              <w:rPr>
                <w:b/>
                <w:bCs/>
                <w:color w:val="000000"/>
                <w:sz w:val="18"/>
                <w:szCs w:val="18"/>
              </w:rPr>
            </w:pPr>
          </w:p>
          <w:p w:rsidR="001670EC" w:rsidRDefault="001670EC" w:rsidP="00BC49EF">
            <w:pPr>
              <w:spacing w:after="0" w:line="240" w:lineRule="auto"/>
              <w:jc w:val="center"/>
              <w:rPr>
                <w:b/>
                <w:bCs/>
                <w:color w:val="000000"/>
                <w:sz w:val="18"/>
                <w:szCs w:val="18"/>
              </w:rPr>
            </w:pPr>
          </w:p>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Average Rate, Ratio or Percentage for the Listed Years</w:t>
            </w:r>
          </w:p>
        </w:tc>
      </w:tr>
      <w:tr w:rsidR="001670EC" w:rsidRPr="00680D98" w:rsidTr="003311B5">
        <w:trPr>
          <w:trHeight w:val="108"/>
        </w:trPr>
        <w:tc>
          <w:tcPr>
            <w:tcW w:w="4177" w:type="dxa"/>
            <w:tcBorders>
              <w:top w:val="nil"/>
              <w:left w:val="single" w:sz="8" w:space="0" w:color="auto"/>
              <w:bottom w:val="nil"/>
              <w:right w:val="single" w:sz="8" w:space="0" w:color="auto"/>
            </w:tcBorders>
            <w:shd w:val="clear" w:color="000000" w:fill="A5A5A5"/>
            <w:vAlign w:val="bottom"/>
          </w:tcPr>
          <w:p w:rsidR="001670EC" w:rsidRPr="00BC49EF" w:rsidRDefault="001670EC" w:rsidP="003311B5">
            <w:pPr>
              <w:spacing w:after="0" w:line="240" w:lineRule="auto"/>
              <w:rPr>
                <w:b/>
                <w:bCs/>
                <w:color w:val="000000"/>
              </w:rPr>
            </w:pPr>
            <w:r w:rsidRPr="00BC49EF">
              <w:rPr>
                <w:b/>
                <w:bCs/>
                <w:color w:val="000000"/>
              </w:rPr>
              <w:t>Focus Area: Increase Access to High Quality Chronic Disease Preventive Care and Management in Both Clinical and Community Settings </w:t>
            </w:r>
          </w:p>
        </w:tc>
        <w:tc>
          <w:tcPr>
            <w:tcW w:w="0" w:type="auto"/>
            <w:gridSpan w:val="3"/>
            <w:tcBorders>
              <w:top w:val="nil"/>
              <w:left w:val="nil"/>
              <w:bottom w:val="single" w:sz="4" w:space="0" w:color="auto"/>
              <w:right w:val="single" w:sz="8" w:space="0" w:color="000000"/>
            </w:tcBorders>
            <w:shd w:val="clear" w:color="000000" w:fill="A5A5A5"/>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(If Available)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BC49EF" w:rsidRDefault="001670EC" w:rsidP="00BC49EF">
            <w:pPr>
              <w:spacing w:after="0" w:line="240" w:lineRule="auto"/>
              <w:rPr>
                <w:b/>
                <w:bCs/>
                <w:color w:val="000000"/>
              </w:rPr>
            </w:pPr>
          </w:p>
        </w:tc>
      </w:tr>
      <w:tr w:rsidR="001670EC" w:rsidRPr="00680D98" w:rsidTr="003311B5">
        <w:trPr>
          <w:trHeight w:val="104"/>
        </w:trPr>
        <w:tc>
          <w:tcPr>
            <w:tcW w:w="4177" w:type="dxa"/>
            <w:tcBorders>
              <w:top w:val="nil"/>
              <w:left w:val="single" w:sz="8" w:space="0" w:color="auto"/>
              <w:bottom w:val="single" w:sz="4" w:space="0" w:color="auto"/>
              <w:right w:val="single" w:sz="8" w:space="0" w:color="auto"/>
            </w:tcBorders>
            <w:shd w:val="clear" w:color="000000" w:fill="A5A5A5"/>
            <w:vAlign w:val="bottom"/>
          </w:tcPr>
          <w:p w:rsidR="001670EC" w:rsidRPr="00BC49EF" w:rsidRDefault="001670EC" w:rsidP="00BC49EF">
            <w:pPr>
              <w:spacing w:after="0" w:line="240" w:lineRule="auto"/>
              <w:rPr>
                <w:color w:val="000000"/>
              </w:rPr>
            </w:pPr>
            <w:r w:rsidRPr="00BC49EF">
              <w:rPr>
                <w:color w:val="000000"/>
              </w:rPr>
              <w:t> </w:t>
            </w:r>
          </w:p>
        </w:tc>
        <w:tc>
          <w:tcPr>
            <w:tcW w:w="0" w:type="auto"/>
            <w:tcBorders>
              <w:top w:val="nil"/>
              <w:left w:val="nil"/>
              <w:bottom w:val="single" w:sz="4" w:space="0" w:color="auto"/>
              <w:right w:val="single" w:sz="4" w:space="0" w:color="auto"/>
            </w:tcBorders>
            <w:shd w:val="clear" w:color="000000" w:fill="A5A5A5"/>
            <w:noWrap/>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Two</w:t>
            </w:r>
          </w:p>
        </w:tc>
        <w:tc>
          <w:tcPr>
            <w:tcW w:w="0" w:type="auto"/>
            <w:tcBorders>
              <w:top w:val="nil"/>
              <w:left w:val="nil"/>
              <w:bottom w:val="single" w:sz="4" w:space="0" w:color="auto"/>
              <w:right w:val="single" w:sz="8" w:space="0" w:color="auto"/>
            </w:tcBorders>
            <w:shd w:val="clear" w:color="000000" w:fill="A5A5A5"/>
            <w:noWrap/>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Three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BC49EF" w:rsidRDefault="001670EC" w:rsidP="00BC49EF">
            <w:pPr>
              <w:spacing w:after="0" w:line="240" w:lineRule="auto"/>
              <w:rPr>
                <w:b/>
                <w:bCs/>
                <w:color w:val="000000"/>
              </w:rPr>
            </w:pPr>
          </w:p>
        </w:tc>
      </w:tr>
      <w:tr w:rsidR="001670EC" w:rsidRPr="00680D98" w:rsidTr="003311B5">
        <w:trPr>
          <w:trHeight w:val="100"/>
        </w:trPr>
        <w:tc>
          <w:tcPr>
            <w:tcW w:w="4177" w:type="dxa"/>
            <w:tcBorders>
              <w:top w:val="nil"/>
              <w:left w:val="single" w:sz="8" w:space="0" w:color="auto"/>
              <w:bottom w:val="single" w:sz="4" w:space="0" w:color="auto"/>
              <w:right w:val="nil"/>
            </w:tcBorders>
            <w:shd w:val="clear" w:color="000000" w:fill="FFFFFF"/>
            <w:vAlign w:val="bottom"/>
          </w:tcPr>
          <w:p w:rsidR="001670EC" w:rsidRPr="00BC49EF" w:rsidRDefault="001670EC" w:rsidP="00BC49EF">
            <w:pPr>
              <w:spacing w:after="0" w:line="240" w:lineRule="auto"/>
              <w:jc w:val="center"/>
              <w:rPr>
                <w:b/>
                <w:bCs/>
                <w:color w:val="000000"/>
              </w:rPr>
            </w:pPr>
            <w:r w:rsidRPr="00BC49EF">
              <w:rPr>
                <w:b/>
                <w:bCs/>
                <w:color w:val="000000"/>
              </w:rPr>
              <w:t>Prevention Agenda Indicators</w:t>
            </w:r>
          </w:p>
        </w:tc>
        <w:tc>
          <w:tcPr>
            <w:tcW w:w="0" w:type="auto"/>
            <w:gridSpan w:val="4"/>
            <w:tcBorders>
              <w:top w:val="single" w:sz="4" w:space="0" w:color="auto"/>
              <w:left w:val="single" w:sz="8" w:space="0" w:color="auto"/>
              <w:bottom w:val="single" w:sz="4" w:space="0" w:color="auto"/>
              <w:right w:val="single" w:sz="8" w:space="0" w:color="auto"/>
            </w:tcBorders>
            <w:shd w:val="clear" w:color="000000" w:fill="FFFFFF"/>
            <w:vAlign w:val="bottom"/>
          </w:tcPr>
          <w:p w:rsidR="001670EC" w:rsidRPr="00BC49EF" w:rsidRDefault="001670EC" w:rsidP="00BC49EF">
            <w:pPr>
              <w:spacing w:after="0" w:line="240" w:lineRule="auto"/>
              <w:rPr>
                <w:color w:val="000000"/>
              </w:rPr>
            </w:pPr>
            <w:r w:rsidRPr="00BC49EF">
              <w:rPr>
                <w:color w:val="000000"/>
              </w:rPr>
              <w:t> </w:t>
            </w:r>
          </w:p>
        </w:tc>
      </w:tr>
      <w:tr w:rsidR="001670EC" w:rsidRPr="00680D98" w:rsidTr="003311B5">
        <w:trPr>
          <w:trHeight w:val="299"/>
        </w:trPr>
        <w:tc>
          <w:tcPr>
            <w:tcW w:w="4177" w:type="dxa"/>
            <w:tcBorders>
              <w:top w:val="nil"/>
              <w:left w:val="single" w:sz="8" w:space="0" w:color="auto"/>
              <w:bottom w:val="single" w:sz="4" w:space="0" w:color="BFBFBF"/>
              <w:right w:val="nil"/>
            </w:tcBorders>
            <w:shd w:val="clear" w:color="000000" w:fill="FFFFFF"/>
            <w:vAlign w:val="bottom"/>
          </w:tcPr>
          <w:p w:rsidR="001670EC" w:rsidRPr="005B3FC2" w:rsidRDefault="001670EC" w:rsidP="00BC49EF">
            <w:pPr>
              <w:spacing w:after="0" w:line="240" w:lineRule="auto"/>
              <w:rPr>
                <w:color w:val="000000"/>
                <w:sz w:val="17"/>
                <w:szCs w:val="17"/>
              </w:rPr>
            </w:pPr>
            <w:r w:rsidRPr="005B3FC2">
              <w:rPr>
                <w:color w:val="000000"/>
                <w:sz w:val="17"/>
                <w:szCs w:val="17"/>
              </w:rPr>
              <w:t>1. Percentage of Adults Ages 50 - 75 Who Received Colorectal Screenings Based on Recent Guidelines, '08/09</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67.4%</w:t>
            </w:r>
          </w:p>
        </w:tc>
      </w:tr>
      <w:tr w:rsidR="001670EC" w:rsidRPr="00680D98" w:rsidTr="003311B5">
        <w:trPr>
          <w:trHeight w:val="199"/>
        </w:trPr>
        <w:tc>
          <w:tcPr>
            <w:tcW w:w="4177" w:type="dxa"/>
            <w:tcBorders>
              <w:top w:val="nil"/>
              <w:left w:val="single" w:sz="8" w:space="0" w:color="auto"/>
              <w:bottom w:val="single" w:sz="4" w:space="0" w:color="BFBFBF"/>
              <w:right w:val="nil"/>
            </w:tcBorders>
            <w:shd w:val="clear" w:color="000000" w:fill="FFFFFF"/>
            <w:vAlign w:val="bottom"/>
          </w:tcPr>
          <w:p w:rsidR="001670EC" w:rsidRPr="005B3FC2" w:rsidRDefault="001670EC" w:rsidP="00BC49EF">
            <w:pPr>
              <w:spacing w:after="0" w:line="240" w:lineRule="auto"/>
              <w:rPr>
                <w:color w:val="000000"/>
                <w:sz w:val="17"/>
                <w:szCs w:val="17"/>
              </w:rPr>
            </w:pPr>
            <w:r w:rsidRPr="005B3FC2">
              <w:rPr>
                <w:color w:val="000000"/>
                <w:sz w:val="17"/>
                <w:szCs w:val="17"/>
              </w:rPr>
              <w:t>2. Rate of Asthma ED Visits per 10,000 Population,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355</w:t>
            </w:r>
          </w:p>
        </w:tc>
        <w:tc>
          <w:tcPr>
            <w:tcW w:w="0" w:type="auto"/>
            <w:tcBorders>
              <w:top w:val="nil"/>
              <w:left w:val="nil"/>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405</w:t>
            </w:r>
          </w:p>
        </w:tc>
        <w:tc>
          <w:tcPr>
            <w:tcW w:w="0" w:type="auto"/>
            <w:tcBorders>
              <w:top w:val="nil"/>
              <w:left w:val="nil"/>
              <w:bottom w:val="single" w:sz="4" w:space="0" w:color="BFBFBF"/>
              <w:right w:val="single" w:sz="8"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340</w:t>
            </w:r>
          </w:p>
        </w:tc>
        <w:tc>
          <w:tcPr>
            <w:tcW w:w="0" w:type="auto"/>
            <w:tcBorders>
              <w:top w:val="nil"/>
              <w:left w:val="nil"/>
              <w:bottom w:val="single" w:sz="4" w:space="0" w:color="BFBFBF"/>
              <w:right w:val="single" w:sz="8"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66.42</w:t>
            </w:r>
          </w:p>
        </w:tc>
      </w:tr>
      <w:tr w:rsidR="001670EC" w:rsidRPr="00680D98" w:rsidTr="003311B5">
        <w:trPr>
          <w:trHeight w:val="199"/>
        </w:trPr>
        <w:tc>
          <w:tcPr>
            <w:tcW w:w="4177" w:type="dxa"/>
            <w:tcBorders>
              <w:top w:val="nil"/>
              <w:left w:val="single" w:sz="8" w:space="0" w:color="auto"/>
              <w:bottom w:val="single" w:sz="4" w:space="0" w:color="BFBFBF"/>
              <w:right w:val="nil"/>
            </w:tcBorders>
            <w:shd w:val="clear" w:color="000000" w:fill="FFFFFF"/>
            <w:vAlign w:val="bottom"/>
          </w:tcPr>
          <w:p w:rsidR="001670EC" w:rsidRPr="005B3FC2" w:rsidRDefault="001670EC" w:rsidP="00BC49EF">
            <w:pPr>
              <w:spacing w:after="0" w:line="240" w:lineRule="auto"/>
              <w:rPr>
                <w:color w:val="000000"/>
                <w:sz w:val="17"/>
                <w:szCs w:val="17"/>
              </w:rPr>
            </w:pPr>
            <w:r w:rsidRPr="005B3FC2">
              <w:rPr>
                <w:color w:val="000000"/>
                <w:sz w:val="17"/>
                <w:szCs w:val="17"/>
              </w:rPr>
              <w:t>3. Rate of Asthma ED Visits Ages 0 - 4, per 10,000 Population Ages, 0 - 4,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124.1</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4. Rate of Short-term Diabetes Hospitalizations for Ages 6 - 17 per 10,000 Population, Ages 6 - 17,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auto" w:fill="FFFF00"/>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11.0</w:t>
            </w:r>
          </w:p>
        </w:tc>
      </w:tr>
      <w:tr w:rsidR="001670EC" w:rsidRPr="00680D98" w:rsidTr="003311B5">
        <w:trPr>
          <w:trHeight w:val="2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5. Rate of Short-term Diabetes Hospitalizations for Ages 18 Plus per 10,000 Population, Ages 18 Plus, '08 - 10</w:t>
            </w:r>
          </w:p>
        </w:tc>
        <w:tc>
          <w:tcPr>
            <w:tcW w:w="0" w:type="auto"/>
            <w:tcBorders>
              <w:top w:val="nil"/>
              <w:left w:val="single" w:sz="8" w:space="0" w:color="auto"/>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5.9</w:t>
            </w:r>
          </w:p>
        </w:tc>
      </w:tr>
      <w:tr w:rsidR="001670EC" w:rsidRPr="00680D98" w:rsidTr="003311B5">
        <w:trPr>
          <w:trHeight w:val="199"/>
        </w:trPr>
        <w:tc>
          <w:tcPr>
            <w:tcW w:w="4177" w:type="dxa"/>
            <w:tcBorders>
              <w:top w:val="nil"/>
              <w:left w:val="single" w:sz="8" w:space="0" w:color="auto"/>
              <w:bottom w:val="single" w:sz="4" w:space="0" w:color="auto"/>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6. Rate of Age Adjusted Heart Attack Hospitalizations per 10,000 population, 2010</w:t>
            </w:r>
          </w:p>
        </w:tc>
        <w:tc>
          <w:tcPr>
            <w:tcW w:w="0" w:type="auto"/>
            <w:tcBorders>
              <w:top w:val="nil"/>
              <w:left w:val="nil"/>
              <w:bottom w:val="single" w:sz="4" w:space="0" w:color="auto"/>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auto"/>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auto"/>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auto"/>
              <w:right w:val="single" w:sz="8" w:space="0" w:color="auto"/>
            </w:tcBorders>
            <w:shd w:val="clear" w:color="auto" w:fill="FFFF00"/>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25.0</w:t>
            </w:r>
          </w:p>
        </w:tc>
      </w:tr>
      <w:tr w:rsidR="001670EC" w:rsidRPr="00680D98" w:rsidTr="0036619D">
        <w:trPr>
          <w:trHeight w:val="100"/>
        </w:trPr>
        <w:tc>
          <w:tcPr>
            <w:tcW w:w="9558" w:type="dxa"/>
            <w:gridSpan w:val="5"/>
            <w:tcBorders>
              <w:top w:val="single" w:sz="4" w:space="0" w:color="auto"/>
              <w:left w:val="single" w:sz="8" w:space="0" w:color="auto"/>
              <w:bottom w:val="single" w:sz="4" w:space="0" w:color="auto"/>
              <w:right w:val="single" w:sz="8" w:space="0" w:color="auto"/>
            </w:tcBorders>
            <w:shd w:val="clear" w:color="000000" w:fill="BFBFBF"/>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Summary for Prevention Agenda Indicators</w:t>
            </w:r>
          </w:p>
        </w:tc>
      </w:tr>
      <w:tr w:rsidR="001670EC" w:rsidRPr="00680D98" w:rsidTr="003311B5">
        <w:trPr>
          <w:trHeight w:val="100"/>
        </w:trPr>
        <w:tc>
          <w:tcPr>
            <w:tcW w:w="4177" w:type="dxa"/>
            <w:tcBorders>
              <w:top w:val="nil"/>
              <w:left w:val="single" w:sz="8" w:space="0" w:color="auto"/>
              <w:bottom w:val="single" w:sz="4" w:space="0" w:color="auto"/>
              <w:right w:val="nil"/>
            </w:tcBorders>
            <w:shd w:val="clear" w:color="000000" w:fill="FFFFFF"/>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Other Indicators</w:t>
            </w:r>
          </w:p>
        </w:tc>
        <w:tc>
          <w:tcPr>
            <w:tcW w:w="0" w:type="auto"/>
            <w:gridSpan w:val="4"/>
            <w:tcBorders>
              <w:top w:val="nil"/>
              <w:left w:val="single" w:sz="8" w:space="0" w:color="auto"/>
              <w:bottom w:val="single" w:sz="4" w:space="0" w:color="auto"/>
              <w:right w:val="single" w:sz="8" w:space="0" w:color="auto"/>
            </w:tcBorders>
            <w:shd w:val="clear" w:color="000000" w:fill="FFFFFF"/>
            <w:vAlign w:val="bottom"/>
          </w:tcPr>
          <w:p w:rsidR="001670EC" w:rsidRPr="00BC49EF" w:rsidRDefault="001670EC" w:rsidP="00BC49EF">
            <w:pPr>
              <w:spacing w:after="0" w:line="240" w:lineRule="auto"/>
              <w:jc w:val="center"/>
              <w:rPr>
                <w:color w:val="000000"/>
                <w:sz w:val="18"/>
                <w:szCs w:val="18"/>
              </w:rPr>
            </w:pPr>
            <w:r w:rsidRPr="00BC49EF">
              <w:rPr>
                <w:color w:val="000000"/>
                <w:sz w:val="18"/>
                <w:szCs w:val="18"/>
              </w:rPr>
              <w:t> </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 Rate of Asthma ED Visits for Ages 18 - 64 per 10,000 Population Ages 18 - 64, '08 - 10</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240</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267</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211</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69.4</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 Rate of Asthma ED Visits for Ages 65 Plus per 10,000 Population Ages 65 Plus, '08 - 10</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16</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24</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22.4</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3. Rate of All Cancer Cases per 100,000 Population, '07 - 09</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398</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346</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390</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686.2</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4. Rate of all Cancer Deaths per 100,000 Population, '07 - 09</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124</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120</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141</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233.0</w:t>
            </w:r>
          </w:p>
        </w:tc>
      </w:tr>
      <w:tr w:rsidR="001670EC" w:rsidRPr="00680D98" w:rsidTr="003311B5">
        <w:trPr>
          <w:trHeight w:val="199"/>
        </w:trPr>
        <w:tc>
          <w:tcPr>
            <w:tcW w:w="4177" w:type="dxa"/>
            <w:tcBorders>
              <w:top w:val="nil"/>
              <w:left w:val="single" w:sz="8" w:space="0" w:color="auto"/>
              <w:bottom w:val="single" w:sz="4" w:space="0" w:color="D8D8D8"/>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5. Rate of Female Breast Cancer Cases per 100,000 Female Population, '07 -09</w:t>
            </w:r>
          </w:p>
        </w:tc>
        <w:tc>
          <w:tcPr>
            <w:tcW w:w="0" w:type="auto"/>
            <w:tcBorders>
              <w:top w:val="nil"/>
              <w:left w:val="single" w:sz="8" w:space="0" w:color="auto"/>
              <w:bottom w:val="single" w:sz="4" w:space="0" w:color="D8D8D8"/>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42</w:t>
            </w:r>
          </w:p>
        </w:tc>
        <w:tc>
          <w:tcPr>
            <w:tcW w:w="0" w:type="auto"/>
            <w:tcBorders>
              <w:top w:val="nil"/>
              <w:left w:val="nil"/>
              <w:bottom w:val="single" w:sz="4" w:space="0" w:color="D8D8D8"/>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38</w:t>
            </w:r>
          </w:p>
        </w:tc>
        <w:tc>
          <w:tcPr>
            <w:tcW w:w="0" w:type="auto"/>
            <w:tcBorders>
              <w:top w:val="nil"/>
              <w:left w:val="nil"/>
              <w:bottom w:val="single" w:sz="4" w:space="0" w:color="D8D8D8"/>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52</w:t>
            </w:r>
          </w:p>
        </w:tc>
        <w:tc>
          <w:tcPr>
            <w:tcW w:w="0" w:type="auto"/>
            <w:tcBorders>
              <w:top w:val="nil"/>
              <w:left w:val="nil"/>
              <w:bottom w:val="single" w:sz="4" w:space="0" w:color="D8D8D8"/>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79.9</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6. Rate of Female Late Stage Breast Cancer Cases per 100,000 Female Population, '07 - 09</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7.9</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 xml:space="preserve">7. Rate of Female Breast Cancer Deaths per 100,000 Female Population, '07 </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13.3</w:t>
            </w:r>
          </w:p>
        </w:tc>
      </w:tr>
      <w:tr w:rsidR="001670EC" w:rsidRPr="00680D98" w:rsidTr="003311B5">
        <w:trPr>
          <w:trHeight w:val="199"/>
        </w:trPr>
        <w:tc>
          <w:tcPr>
            <w:tcW w:w="4177" w:type="dxa"/>
            <w:tcBorders>
              <w:top w:val="nil"/>
              <w:left w:val="single" w:sz="8" w:space="0" w:color="auto"/>
              <w:bottom w:val="single" w:sz="4" w:space="0" w:color="BFBFBF"/>
              <w:right w:val="nil"/>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8. Percentage of Women Ages 40 Plus With Mammogram within Last Two Years, '08/ 09</w:t>
            </w:r>
          </w:p>
        </w:tc>
        <w:tc>
          <w:tcPr>
            <w:tcW w:w="0" w:type="auto"/>
            <w:tcBorders>
              <w:top w:val="nil"/>
              <w:left w:val="single" w:sz="8" w:space="0" w:color="auto"/>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80.1%</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9. Rate of Cervix and Uterine Cancer Cases per 100,000 Female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1.8</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10. Rate of Cervix and Uterine Cancer Deaths per 100,000 Female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1.2</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11. Percentage of Women Ages 18 Plus with a Pap Smear within the Last Three Years, '08/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79.1%</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12. Rate of Ovarian Cancer Cases per 100,000 Female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8.5</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13. Rate of Ovarian Cancer Deaths per 100,000 Female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6.7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14. Rate of Colon and Rectum Cancer Cases per 100,000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47</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37</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43</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76.9</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15. Rate of Colon and Rectum Cancer Deaths per 100,000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14</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16</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18</w:t>
            </w:r>
          </w:p>
        </w:tc>
        <w:tc>
          <w:tcPr>
            <w:tcW w:w="0" w:type="auto"/>
            <w:tcBorders>
              <w:top w:val="single" w:sz="4" w:space="0" w:color="BFBFBF"/>
              <w:left w:val="nil"/>
              <w:bottom w:val="single" w:sz="4" w:space="0" w:color="BFBFBF"/>
              <w:right w:val="single" w:sz="8" w:space="0" w:color="auto"/>
            </w:tcBorders>
            <w:shd w:val="clear" w:color="auto" w:fill="FFFF00"/>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29.0</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16. Percentage of Adults Ages 50 Plus with Home Blood Stool Test within the Last Two Years, '08/09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16.2%</w:t>
            </w:r>
          </w:p>
        </w:tc>
      </w:tr>
      <w:tr w:rsidR="001670EC" w:rsidRPr="00680D98" w:rsidTr="003311B5">
        <w:trPr>
          <w:trHeight w:val="2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17. Percentage of Adults Ages 50 Plus with Sigmoidoscopy or Colonoscopy within Last Ten Years, '08/09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59.7%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18. Rate of Prostate Cancer Deaths 100,000 Male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9.7</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19. Rate of Prostate Cancer Cases per 100,000Male Population, '07 -09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68</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44</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59</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103.5</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20. Rate of Prostate Cancer Late Stage Cancer Cases per 100,000 Male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4.2</w:t>
            </w:r>
          </w:p>
        </w:tc>
      </w:tr>
      <w:tr w:rsidR="001670EC" w:rsidRPr="00680D98" w:rsidTr="003311B5">
        <w:trPr>
          <w:trHeight w:val="199"/>
        </w:trPr>
        <w:tc>
          <w:tcPr>
            <w:tcW w:w="4177" w:type="dxa"/>
            <w:tcBorders>
              <w:top w:val="nil"/>
              <w:left w:val="single" w:sz="8" w:space="0" w:color="auto"/>
              <w:bottom w:val="single" w:sz="8" w:space="0" w:color="auto"/>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21. Percentage of Males, Ages 40 Plus with a Digital Rectal Exam within Last Two Years, '08/09</w:t>
            </w:r>
          </w:p>
        </w:tc>
        <w:tc>
          <w:tcPr>
            <w:tcW w:w="0" w:type="auto"/>
            <w:tcBorders>
              <w:top w:val="nil"/>
              <w:left w:val="nil"/>
              <w:bottom w:val="single" w:sz="8" w:space="0" w:color="auto"/>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8" w:space="0" w:color="auto"/>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8" w:space="0" w:color="auto"/>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8" w:space="0" w:color="auto"/>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50.1%</w:t>
            </w:r>
          </w:p>
        </w:tc>
      </w:tr>
      <w:tr w:rsidR="001670EC" w:rsidRPr="00680D98" w:rsidTr="003311B5">
        <w:trPr>
          <w:trHeight w:val="199"/>
        </w:trPr>
        <w:tc>
          <w:tcPr>
            <w:tcW w:w="4177" w:type="dxa"/>
            <w:tcBorders>
              <w:top w:val="single" w:sz="8" w:space="0" w:color="auto"/>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22. Percentage of Males, Ages 40 Plus with a Prostate Antigen Test within Last Two Years, '08/09</w:t>
            </w:r>
          </w:p>
        </w:tc>
        <w:tc>
          <w:tcPr>
            <w:tcW w:w="0" w:type="auto"/>
            <w:tcBorders>
              <w:top w:val="single" w:sz="8" w:space="0" w:color="auto"/>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single" w:sz="8" w:space="0" w:color="auto"/>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single" w:sz="8" w:space="0" w:color="auto"/>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single" w:sz="8" w:space="0" w:color="auto"/>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51.5%</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23. Rate of Melanoma Cancer Deaths per 100,000 Population, '07 - '09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5.4</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24. Percentage of Medicaid Enrollees with at Least One Preventive Dental Visit within the Year, '08 - 10</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3,564</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4,257</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4,387</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27.1%</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25. Percentage of Age Adjusted Adults with a Dental Visit Within the Last 12 Months, '08/09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2,344</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2,806</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3,004</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18.1%</w:t>
            </w:r>
          </w:p>
        </w:tc>
      </w:tr>
      <w:tr w:rsidR="001670EC" w:rsidRPr="00680D98" w:rsidTr="003311B5">
        <w:trPr>
          <w:trHeight w:val="199"/>
        </w:trPr>
        <w:tc>
          <w:tcPr>
            <w:tcW w:w="4177" w:type="dxa"/>
            <w:tcBorders>
              <w:top w:val="nil"/>
              <w:left w:val="single" w:sz="8" w:space="0" w:color="auto"/>
              <w:bottom w:val="single" w:sz="4" w:space="0" w:color="BFBFBF"/>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26. Oral Cavity and Pharynx Cancer Deaths per 100,000 Population, '07-09</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BFBFBF"/>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2.4</w:t>
            </w:r>
          </w:p>
        </w:tc>
      </w:tr>
      <w:tr w:rsidR="001670EC" w:rsidRPr="00680D98" w:rsidTr="003311B5">
        <w:trPr>
          <w:trHeight w:val="199"/>
        </w:trPr>
        <w:tc>
          <w:tcPr>
            <w:tcW w:w="4177" w:type="dxa"/>
            <w:tcBorders>
              <w:top w:val="nil"/>
              <w:left w:val="single" w:sz="8" w:space="0" w:color="auto"/>
              <w:bottom w:val="single" w:sz="4" w:space="0" w:color="D8D8D8"/>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27. Oral Cavity and Pharynx Cancer Deaths, Adults Ages 45 - 74, per 100,000 Population, Ages 45 - 74, '07 - 09</w:t>
            </w:r>
          </w:p>
        </w:tc>
        <w:tc>
          <w:tcPr>
            <w:tcW w:w="0" w:type="auto"/>
            <w:tcBorders>
              <w:top w:val="nil"/>
              <w:left w:val="nil"/>
              <w:bottom w:val="single" w:sz="4" w:space="0" w:color="D8D8D8"/>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D8D8D8"/>
              <w:right w:val="single" w:sz="4"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D8D8D8"/>
              <w:right w:val="single" w:sz="8" w:space="0" w:color="auto"/>
            </w:tcBorders>
            <w:noWrap/>
            <w:vAlign w:val="bottom"/>
          </w:tcPr>
          <w:p w:rsidR="001670EC" w:rsidRPr="00BC49EF" w:rsidRDefault="001670EC" w:rsidP="00BC49EF">
            <w:pPr>
              <w:spacing w:after="0" w:line="240" w:lineRule="auto"/>
              <w:rPr>
                <w:color w:val="000000"/>
                <w:sz w:val="18"/>
                <w:szCs w:val="18"/>
              </w:rPr>
            </w:pPr>
            <w:r w:rsidRPr="00BC49EF">
              <w:rPr>
                <w:color w:val="000000"/>
                <w:sz w:val="18"/>
                <w:szCs w:val="18"/>
              </w:rPr>
              <w:t> </w:t>
            </w:r>
          </w:p>
        </w:tc>
        <w:tc>
          <w:tcPr>
            <w:tcW w:w="0" w:type="auto"/>
            <w:tcBorders>
              <w:top w:val="nil"/>
              <w:left w:val="nil"/>
              <w:bottom w:val="single" w:sz="4" w:space="0" w:color="D8D8D8"/>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5.0</w:t>
            </w:r>
          </w:p>
        </w:tc>
      </w:tr>
      <w:tr w:rsidR="001670EC" w:rsidRPr="00680D98" w:rsidTr="003311B5">
        <w:trPr>
          <w:trHeight w:val="199"/>
        </w:trPr>
        <w:tc>
          <w:tcPr>
            <w:tcW w:w="4177" w:type="dxa"/>
            <w:tcBorders>
              <w:top w:val="nil"/>
              <w:left w:val="single" w:sz="8" w:space="0" w:color="auto"/>
              <w:bottom w:val="single" w:sz="4" w:space="0" w:color="auto"/>
              <w:right w:val="single" w:sz="8" w:space="0" w:color="auto"/>
            </w:tcBorders>
            <w:vAlign w:val="bottom"/>
          </w:tcPr>
          <w:p w:rsidR="001670EC" w:rsidRPr="005B3FC2" w:rsidRDefault="001670EC" w:rsidP="00BC49EF">
            <w:pPr>
              <w:spacing w:after="0" w:line="240" w:lineRule="auto"/>
              <w:rPr>
                <w:color w:val="000000"/>
                <w:sz w:val="17"/>
                <w:szCs w:val="17"/>
              </w:rPr>
            </w:pPr>
            <w:r w:rsidRPr="005B3FC2">
              <w:rPr>
                <w:color w:val="000000"/>
                <w:sz w:val="17"/>
                <w:szCs w:val="17"/>
              </w:rPr>
              <w:t>28. Oral Cavity and Pharynx Cancer Cases per 100,000 Population, '07 - 09</w:t>
            </w:r>
          </w:p>
        </w:tc>
        <w:tc>
          <w:tcPr>
            <w:tcW w:w="0" w:type="auto"/>
            <w:tcBorders>
              <w:top w:val="nil"/>
              <w:left w:val="nil"/>
              <w:bottom w:val="single" w:sz="4" w:space="0" w:color="auto"/>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10</w:t>
            </w:r>
          </w:p>
        </w:tc>
        <w:tc>
          <w:tcPr>
            <w:tcW w:w="0" w:type="auto"/>
            <w:tcBorders>
              <w:top w:val="nil"/>
              <w:left w:val="nil"/>
              <w:bottom w:val="single" w:sz="4" w:space="0" w:color="auto"/>
              <w:right w:val="single" w:sz="4"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8</w:t>
            </w:r>
          </w:p>
        </w:tc>
        <w:tc>
          <w:tcPr>
            <w:tcW w:w="0" w:type="auto"/>
            <w:tcBorders>
              <w:top w:val="nil"/>
              <w:left w:val="nil"/>
              <w:bottom w:val="single" w:sz="4" w:space="0" w:color="auto"/>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10</w:t>
            </w:r>
          </w:p>
        </w:tc>
        <w:tc>
          <w:tcPr>
            <w:tcW w:w="0" w:type="auto"/>
            <w:tcBorders>
              <w:top w:val="nil"/>
              <w:left w:val="nil"/>
              <w:bottom w:val="single" w:sz="4" w:space="0" w:color="auto"/>
              <w:right w:val="single" w:sz="8" w:space="0" w:color="auto"/>
            </w:tcBorders>
            <w:noWrap/>
            <w:vAlign w:val="bottom"/>
          </w:tcPr>
          <w:p w:rsidR="001670EC" w:rsidRPr="00BC49EF" w:rsidRDefault="001670EC" w:rsidP="00BC49EF">
            <w:pPr>
              <w:spacing w:after="0" w:line="240" w:lineRule="auto"/>
              <w:jc w:val="right"/>
              <w:rPr>
                <w:color w:val="000000"/>
                <w:sz w:val="18"/>
                <w:szCs w:val="18"/>
              </w:rPr>
            </w:pPr>
            <w:r w:rsidRPr="00BC49EF">
              <w:rPr>
                <w:color w:val="000000"/>
                <w:sz w:val="18"/>
                <w:szCs w:val="18"/>
              </w:rPr>
              <w:t>16.9</w:t>
            </w:r>
          </w:p>
        </w:tc>
      </w:tr>
      <w:tr w:rsidR="001670EC" w:rsidRPr="00680D98" w:rsidTr="0036619D">
        <w:trPr>
          <w:trHeight w:val="104"/>
        </w:trPr>
        <w:tc>
          <w:tcPr>
            <w:tcW w:w="9558" w:type="dxa"/>
            <w:gridSpan w:val="5"/>
            <w:tcBorders>
              <w:top w:val="single" w:sz="4" w:space="0" w:color="auto"/>
              <w:left w:val="single" w:sz="8" w:space="0" w:color="auto"/>
              <w:bottom w:val="double" w:sz="6" w:space="0" w:color="auto"/>
              <w:right w:val="single" w:sz="8" w:space="0" w:color="auto"/>
            </w:tcBorders>
            <w:shd w:val="clear" w:color="000000" w:fill="BFBFBF"/>
            <w:vAlign w:val="bottom"/>
          </w:tcPr>
          <w:p w:rsidR="001670EC" w:rsidRPr="00BC49EF" w:rsidRDefault="001670EC" w:rsidP="00BC49EF">
            <w:pPr>
              <w:spacing w:after="0" w:line="240" w:lineRule="auto"/>
              <w:jc w:val="center"/>
              <w:rPr>
                <w:b/>
                <w:bCs/>
                <w:color w:val="000000"/>
                <w:sz w:val="18"/>
                <w:szCs w:val="18"/>
              </w:rPr>
            </w:pPr>
            <w:r w:rsidRPr="00BC49EF">
              <w:rPr>
                <w:b/>
                <w:bCs/>
                <w:color w:val="000000"/>
                <w:sz w:val="18"/>
                <w:szCs w:val="18"/>
              </w:rPr>
              <w:t>Summary for Other Indicators</w:t>
            </w:r>
          </w:p>
        </w:tc>
      </w:tr>
    </w:tbl>
    <w:tbl>
      <w:tblPr>
        <w:tblpPr w:leftFromText="180" w:rightFromText="180" w:vertAnchor="text" w:horzAnchor="margin" w:tblpY="318"/>
        <w:tblW w:w="0" w:type="auto"/>
        <w:tblLook w:val="00A0"/>
      </w:tblPr>
      <w:tblGrid>
        <w:gridCol w:w="5074"/>
        <w:gridCol w:w="525"/>
        <w:gridCol w:w="537"/>
        <w:gridCol w:w="647"/>
        <w:gridCol w:w="2793"/>
      </w:tblGrid>
      <w:tr w:rsidR="001670EC" w:rsidRPr="00680D98" w:rsidTr="0031631C">
        <w:trPr>
          <w:trHeight w:val="119"/>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Default="001670EC" w:rsidP="005B3FC2">
            <w:pPr>
              <w:spacing w:after="0" w:line="240" w:lineRule="auto"/>
              <w:rPr>
                <w:color w:val="000000"/>
              </w:rPr>
            </w:pPr>
          </w:p>
          <w:p w:rsidR="001670EC" w:rsidRPr="00BC49EF" w:rsidRDefault="001670EC" w:rsidP="005B3FC2">
            <w:pPr>
              <w:spacing w:after="0" w:line="240" w:lineRule="auto"/>
              <w:rPr>
                <w:color w:val="000000"/>
              </w:rPr>
            </w:pPr>
          </w:p>
        </w:tc>
        <w:tc>
          <w:tcPr>
            <w:tcW w:w="0" w:type="auto"/>
            <w:gridSpan w:val="3"/>
            <w:tcBorders>
              <w:top w:val="single" w:sz="8" w:space="0" w:color="auto"/>
              <w:left w:val="nil"/>
              <w:bottom w:val="nil"/>
              <w:right w:val="single" w:sz="8" w:space="0" w:color="000000"/>
            </w:tcBorders>
            <w:shd w:val="clear" w:color="000000" w:fill="A5A5A5"/>
            <w:vAlign w:val="bottom"/>
          </w:tcPr>
          <w:p w:rsidR="001670EC" w:rsidRPr="00BC49EF" w:rsidRDefault="001670EC" w:rsidP="00851356">
            <w:pPr>
              <w:spacing w:after="0" w:line="240" w:lineRule="auto"/>
              <w:rPr>
                <w:b/>
                <w:bCs/>
                <w:color w:val="000000"/>
                <w:sz w:val="18"/>
                <w:szCs w:val="18"/>
              </w:rPr>
            </w:pPr>
          </w:p>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Number Per Year</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Default="001670EC" w:rsidP="005B3FC2">
            <w:pPr>
              <w:spacing w:after="0" w:line="240" w:lineRule="auto"/>
              <w:rPr>
                <w:b/>
                <w:bCs/>
                <w:color w:val="000000"/>
                <w:sz w:val="18"/>
                <w:szCs w:val="18"/>
              </w:rPr>
            </w:pPr>
          </w:p>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Average Rate, Ratio or Percentage for the Listed Years</w:t>
            </w:r>
          </w:p>
        </w:tc>
      </w:tr>
      <w:tr w:rsidR="001670EC" w:rsidRPr="00680D98" w:rsidTr="0031631C">
        <w:trPr>
          <w:trHeight w:val="119"/>
        </w:trPr>
        <w:tc>
          <w:tcPr>
            <w:tcW w:w="0" w:type="auto"/>
            <w:tcBorders>
              <w:top w:val="nil"/>
              <w:left w:val="single" w:sz="8" w:space="0" w:color="auto"/>
              <w:bottom w:val="nil"/>
              <w:right w:val="single" w:sz="8" w:space="0" w:color="auto"/>
            </w:tcBorders>
            <w:shd w:val="clear" w:color="000000" w:fill="A5A5A5"/>
            <w:vAlign w:val="bottom"/>
          </w:tcPr>
          <w:p w:rsidR="001670EC" w:rsidRPr="00BC49EF" w:rsidRDefault="001670EC" w:rsidP="003311B5">
            <w:pPr>
              <w:spacing w:after="0" w:line="240" w:lineRule="auto"/>
              <w:rPr>
                <w:b/>
                <w:bCs/>
                <w:color w:val="000000"/>
              </w:rPr>
            </w:pPr>
            <w:r w:rsidRPr="00BC49EF">
              <w:rPr>
                <w:b/>
                <w:bCs/>
                <w:color w:val="000000"/>
              </w:rPr>
              <w:t>Focus Area: Maternal and Infant Health </w:t>
            </w:r>
          </w:p>
        </w:tc>
        <w:tc>
          <w:tcPr>
            <w:tcW w:w="0" w:type="auto"/>
            <w:gridSpan w:val="3"/>
            <w:tcBorders>
              <w:top w:val="nil"/>
              <w:left w:val="nil"/>
              <w:bottom w:val="single" w:sz="4" w:space="0" w:color="auto"/>
              <w:right w:val="single" w:sz="8" w:space="0" w:color="000000"/>
            </w:tcBorders>
            <w:shd w:val="clear" w:color="000000" w:fill="A5A5A5"/>
            <w:vAlign w:val="bottom"/>
          </w:tcPr>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(If Available)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BC49EF" w:rsidRDefault="001670EC" w:rsidP="005B3FC2">
            <w:pPr>
              <w:spacing w:after="0" w:line="240" w:lineRule="auto"/>
              <w:rPr>
                <w:b/>
                <w:bCs/>
                <w:color w:val="000000"/>
              </w:rPr>
            </w:pPr>
          </w:p>
        </w:tc>
      </w:tr>
      <w:tr w:rsidR="001670EC" w:rsidRPr="00680D98" w:rsidTr="0031631C">
        <w:trPr>
          <w:trHeight w:val="109"/>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BC49EF" w:rsidRDefault="001670EC" w:rsidP="005B3FC2">
            <w:pPr>
              <w:spacing w:after="0" w:line="240" w:lineRule="auto"/>
              <w:rPr>
                <w:color w:val="000000"/>
              </w:rPr>
            </w:pPr>
          </w:p>
        </w:tc>
        <w:tc>
          <w:tcPr>
            <w:tcW w:w="0" w:type="auto"/>
            <w:tcBorders>
              <w:top w:val="nil"/>
              <w:left w:val="nil"/>
              <w:bottom w:val="single" w:sz="4" w:space="0" w:color="auto"/>
              <w:right w:val="single" w:sz="4" w:space="0" w:color="auto"/>
            </w:tcBorders>
            <w:shd w:val="clear" w:color="000000" w:fill="A5A5A5"/>
            <w:noWrap/>
            <w:vAlign w:val="bottom"/>
          </w:tcPr>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One</w:t>
            </w:r>
          </w:p>
        </w:tc>
        <w:tc>
          <w:tcPr>
            <w:tcW w:w="0" w:type="auto"/>
            <w:tcBorders>
              <w:top w:val="nil"/>
              <w:left w:val="nil"/>
              <w:bottom w:val="single" w:sz="4" w:space="0" w:color="auto"/>
              <w:right w:val="single" w:sz="4" w:space="0" w:color="auto"/>
            </w:tcBorders>
            <w:shd w:val="clear" w:color="000000" w:fill="A5A5A5"/>
            <w:noWrap/>
            <w:vAlign w:val="bottom"/>
          </w:tcPr>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Two</w:t>
            </w:r>
          </w:p>
        </w:tc>
        <w:tc>
          <w:tcPr>
            <w:tcW w:w="0" w:type="auto"/>
            <w:tcBorders>
              <w:top w:val="nil"/>
              <w:left w:val="nil"/>
              <w:bottom w:val="single" w:sz="4" w:space="0" w:color="auto"/>
              <w:right w:val="single" w:sz="8" w:space="0" w:color="auto"/>
            </w:tcBorders>
            <w:shd w:val="clear" w:color="000000" w:fill="A5A5A5"/>
            <w:noWrap/>
            <w:vAlign w:val="bottom"/>
          </w:tcPr>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Three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BC49EF" w:rsidRDefault="001670EC" w:rsidP="005B3FC2">
            <w:pPr>
              <w:spacing w:after="0" w:line="240" w:lineRule="auto"/>
              <w:rPr>
                <w:b/>
                <w:bCs/>
                <w:color w:val="000000"/>
              </w:rPr>
            </w:pPr>
          </w:p>
        </w:tc>
      </w:tr>
      <w:tr w:rsidR="001670EC" w:rsidRPr="00680D98" w:rsidTr="0031631C">
        <w:trPr>
          <w:trHeight w:val="109"/>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BC49EF" w:rsidRDefault="001670EC" w:rsidP="005B3FC2">
            <w:pPr>
              <w:spacing w:after="0" w:line="240" w:lineRule="auto"/>
              <w:jc w:val="center"/>
              <w:rPr>
                <w:b/>
                <w:bCs/>
                <w:color w:val="000000"/>
              </w:rPr>
            </w:pPr>
            <w:r w:rsidRPr="00BC49EF">
              <w:rPr>
                <w:b/>
                <w:bCs/>
                <w:color w:val="000000"/>
              </w:rPr>
              <w:t>Prevention Agenda Indicators</w:t>
            </w:r>
          </w:p>
        </w:tc>
        <w:tc>
          <w:tcPr>
            <w:tcW w:w="0" w:type="auto"/>
            <w:gridSpan w:val="4"/>
            <w:tcBorders>
              <w:top w:val="single" w:sz="4" w:space="0" w:color="auto"/>
              <w:left w:val="nil"/>
              <w:bottom w:val="single" w:sz="4" w:space="0" w:color="auto"/>
              <w:right w:val="single" w:sz="8" w:space="0" w:color="auto"/>
            </w:tcBorders>
            <w:shd w:val="clear" w:color="000000" w:fill="FFFFFF"/>
            <w:vAlign w:val="bottom"/>
          </w:tcPr>
          <w:p w:rsidR="001670EC" w:rsidRPr="00BC49EF" w:rsidRDefault="001670EC" w:rsidP="005B3FC2">
            <w:pPr>
              <w:spacing w:after="0" w:line="240" w:lineRule="auto"/>
              <w:rPr>
                <w:color w:val="000000"/>
              </w:rPr>
            </w:pPr>
            <w:r w:rsidRPr="00BC49EF">
              <w:rPr>
                <w:color w:val="000000"/>
              </w:rPr>
              <w:t> </w:t>
            </w:r>
          </w:p>
        </w:tc>
      </w:tr>
      <w:tr w:rsidR="001670EC" w:rsidRPr="00680D98" w:rsidTr="0031631C">
        <w:trPr>
          <w:trHeight w:val="219"/>
        </w:trPr>
        <w:tc>
          <w:tcPr>
            <w:tcW w:w="0" w:type="auto"/>
            <w:tcBorders>
              <w:top w:val="single" w:sz="4" w:space="0" w:color="BFBFBF"/>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 Percentage Preterm Births &lt; 37 Weeks of Total Births Where Gestation Period is Known, '08 - 10</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78</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42</w:t>
            </w:r>
          </w:p>
        </w:tc>
        <w:tc>
          <w:tcPr>
            <w:tcW w:w="0" w:type="auto"/>
            <w:tcBorders>
              <w:top w:val="single" w:sz="4" w:space="0" w:color="BFBFBF"/>
              <w:left w:val="nil"/>
              <w:bottom w:val="single" w:sz="4" w:space="0" w:color="BFBFBF"/>
              <w:right w:val="nil"/>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50</w:t>
            </w:r>
          </w:p>
        </w:tc>
        <w:tc>
          <w:tcPr>
            <w:tcW w:w="0" w:type="auto"/>
            <w:tcBorders>
              <w:top w:val="single" w:sz="4" w:space="0" w:color="BFBFBF"/>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10.6%</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2. Ratio of Preterm Births (&lt; 37 wks) Black/NH to White/NH,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3. Ratio of Preterm Births (&lt; 37 wks) Hisp/Latino to White/NH,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4. Ratio of Preterm Births (&lt; 37 wks) Medicaid to Non-Medicaid,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nil"/>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1.00</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5. Rate of Maternal Mortality per 100,000 Births,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w:t>
            </w:r>
          </w:p>
        </w:tc>
        <w:tc>
          <w:tcPr>
            <w:tcW w:w="0" w:type="auto"/>
            <w:tcBorders>
              <w:top w:val="nil"/>
              <w:left w:val="nil"/>
              <w:bottom w:val="single" w:sz="4" w:space="0" w:color="BFBFBF"/>
              <w:right w:val="nil"/>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0.0</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6. Percentage of Live Birth Infants Exclusively Breastfed in Delivery Hospital,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48.2%</w:t>
            </w:r>
          </w:p>
        </w:tc>
      </w:tr>
      <w:tr w:rsidR="001670EC" w:rsidRPr="00680D98" w:rsidTr="0031631C">
        <w:trPr>
          <w:trHeight w:val="327"/>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7. Ratio of Infants Exclusively Breastfed in Delivery Hospital Black, non-Hispanic to White, non-Hispanic,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327"/>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8. Ratio of Infants Exclusively Breastfed in Delivery Hospital Hispanic/Latino to White, non-Hispanic,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0.9</w:t>
            </w:r>
          </w:p>
        </w:tc>
      </w:tr>
      <w:tr w:rsidR="001670EC" w:rsidRPr="00680D98" w:rsidTr="0031631C">
        <w:trPr>
          <w:trHeight w:val="219"/>
        </w:trPr>
        <w:tc>
          <w:tcPr>
            <w:tcW w:w="0" w:type="auto"/>
            <w:tcBorders>
              <w:top w:val="nil"/>
              <w:left w:val="single" w:sz="8" w:space="0" w:color="auto"/>
              <w:bottom w:val="nil"/>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9. Ratio of Infants Exclusively Breastfed in Delivery Hospital Medicaid to Non-Medicaid Births, '08 - 10</w:t>
            </w:r>
          </w:p>
        </w:tc>
        <w:tc>
          <w:tcPr>
            <w:tcW w:w="0" w:type="auto"/>
            <w:tcBorders>
              <w:top w:val="nil"/>
              <w:left w:val="nil"/>
              <w:bottom w:val="nil"/>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nil"/>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nil"/>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nil"/>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0.8</w:t>
            </w:r>
          </w:p>
        </w:tc>
      </w:tr>
      <w:tr w:rsidR="001670EC" w:rsidRPr="00680D98" w:rsidTr="0031631C">
        <w:trPr>
          <w:trHeight w:val="114"/>
        </w:trPr>
        <w:tc>
          <w:tcPr>
            <w:tcW w:w="0" w:type="auto"/>
            <w:gridSpan w:val="5"/>
            <w:tcBorders>
              <w:top w:val="single" w:sz="4" w:space="0" w:color="auto"/>
              <w:left w:val="single" w:sz="8" w:space="0" w:color="auto"/>
              <w:bottom w:val="single" w:sz="8" w:space="0" w:color="auto"/>
              <w:right w:val="single" w:sz="8" w:space="0" w:color="auto"/>
            </w:tcBorders>
            <w:shd w:val="clear" w:color="000000" w:fill="BFBFBF"/>
            <w:vAlign w:val="bottom"/>
          </w:tcPr>
          <w:p w:rsidR="001670EC" w:rsidRPr="005B3FC2" w:rsidRDefault="001670EC" w:rsidP="005B3FC2">
            <w:pPr>
              <w:spacing w:after="0" w:line="240" w:lineRule="auto"/>
              <w:jc w:val="center"/>
              <w:rPr>
                <w:b/>
                <w:bCs/>
                <w:color w:val="000000"/>
                <w:sz w:val="17"/>
                <w:szCs w:val="17"/>
              </w:rPr>
            </w:pPr>
            <w:r w:rsidRPr="005B3FC2">
              <w:rPr>
                <w:b/>
                <w:bCs/>
                <w:color w:val="000000"/>
                <w:sz w:val="17"/>
                <w:szCs w:val="17"/>
              </w:rPr>
              <w:t>Summary for Prevention Agenda Indicators</w:t>
            </w:r>
          </w:p>
        </w:tc>
      </w:tr>
      <w:tr w:rsidR="001670EC" w:rsidRPr="00680D98" w:rsidTr="0031631C">
        <w:trPr>
          <w:trHeight w:val="109"/>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5B3FC2" w:rsidRDefault="001670EC" w:rsidP="005B3FC2">
            <w:pPr>
              <w:spacing w:after="0" w:line="240" w:lineRule="auto"/>
              <w:jc w:val="center"/>
              <w:rPr>
                <w:b/>
                <w:bCs/>
                <w:color w:val="000000"/>
                <w:sz w:val="17"/>
                <w:szCs w:val="17"/>
              </w:rPr>
            </w:pPr>
            <w:r w:rsidRPr="005B3FC2">
              <w:rPr>
                <w:b/>
                <w:bCs/>
                <w:color w:val="000000"/>
                <w:sz w:val="17"/>
                <w:szCs w:val="17"/>
              </w:rPr>
              <w:t>Other Indicators</w:t>
            </w:r>
          </w:p>
        </w:tc>
        <w:tc>
          <w:tcPr>
            <w:tcW w:w="0" w:type="auto"/>
            <w:gridSpan w:val="4"/>
            <w:tcBorders>
              <w:top w:val="nil"/>
              <w:left w:val="nil"/>
              <w:bottom w:val="single" w:sz="4" w:space="0" w:color="auto"/>
              <w:right w:val="single" w:sz="8" w:space="0" w:color="auto"/>
            </w:tcBorders>
            <w:shd w:val="clear" w:color="000000" w:fill="FFFFFF"/>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 Percentage Preterm Births &lt; 32 weeks of Total Births Where Gestation Period is Known,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17</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8</w:t>
            </w:r>
          </w:p>
        </w:tc>
        <w:tc>
          <w:tcPr>
            <w:tcW w:w="0" w:type="auto"/>
            <w:tcBorders>
              <w:top w:val="nil"/>
              <w:left w:val="nil"/>
              <w:bottom w:val="single" w:sz="4" w:space="0" w:color="BFBFBF"/>
              <w:right w:val="nil"/>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9</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6.4%</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2. Percentage Preterm Births 32 to &lt; 37 Weeks of Total Births Where Gestation Period is Known,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34</w:t>
            </w:r>
          </w:p>
        </w:tc>
        <w:tc>
          <w:tcPr>
            <w:tcW w:w="0" w:type="auto"/>
            <w:tcBorders>
              <w:top w:val="nil"/>
              <w:left w:val="nil"/>
              <w:bottom w:val="single" w:sz="4" w:space="0" w:color="BFBFBF"/>
              <w:right w:val="nil"/>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41</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8.5%</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3. Percentage of Total Births with Weights Less Than 1,500 grams,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13</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5</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1.4%</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4. Percentage of Singleton Births with Weights Less Than 1,500 grams,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5</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1.2%</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5. Percentage of Total Births with Weights Less Than 2,500 grams,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67</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35</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32</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7.7%</w:t>
            </w:r>
          </w:p>
        </w:tc>
      </w:tr>
      <w:tr w:rsidR="001670EC" w:rsidRPr="00680D98" w:rsidTr="0031631C">
        <w:trPr>
          <w:trHeight w:val="219"/>
        </w:trPr>
        <w:tc>
          <w:tcPr>
            <w:tcW w:w="0" w:type="auto"/>
            <w:tcBorders>
              <w:top w:val="nil"/>
              <w:left w:val="single" w:sz="8" w:space="0" w:color="auto"/>
              <w:bottom w:val="single" w:sz="4" w:space="0" w:color="D8D8D8"/>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6. Percentage of Singleton Births with Weights Less Than 2,500 grams, '08 - 10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49</w:t>
            </w:r>
          </w:p>
        </w:tc>
        <w:tc>
          <w:tcPr>
            <w:tcW w:w="0" w:type="auto"/>
            <w:tcBorders>
              <w:top w:val="nil"/>
              <w:left w:val="nil"/>
              <w:bottom w:val="single" w:sz="4" w:space="0" w:color="D8D8D8"/>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31</w:t>
            </w:r>
          </w:p>
        </w:tc>
        <w:tc>
          <w:tcPr>
            <w:tcW w:w="0" w:type="auto"/>
            <w:tcBorders>
              <w:top w:val="nil"/>
              <w:left w:val="nil"/>
              <w:bottom w:val="single" w:sz="4" w:space="0" w:color="D8D8D8"/>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29</w:t>
            </w:r>
          </w:p>
        </w:tc>
        <w:tc>
          <w:tcPr>
            <w:tcW w:w="0" w:type="auto"/>
            <w:tcBorders>
              <w:top w:val="nil"/>
              <w:left w:val="nil"/>
              <w:bottom w:val="single" w:sz="4" w:space="0" w:color="D8D8D8"/>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6.4%</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7. Percentage of Total Births for Black, Non-Hispanic, with Weights Less than 2,500 Grams,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8. Percentage of Total Births for Hispanic/Latino, with Weights Less than 2,500 Grams,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10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9. Infant Mortality Rate per 1,000 Live Births,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4.0</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10. Infant Mortality Rate for Black, Non-Hispanic per 1,000 Births,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11. Infant Mortality Rate for Hispanic/Latino per 1,000 Births,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12. Rate of Deaths (28 Weeks Gestation to Seven Days) per 1,000 Live Births and Perinatal Deaths,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4.0</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13. Percentage Early Prenatal Care of Total Births Where Prenatal Care Status is Known,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473</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407</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414</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80.2%</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14. Percentage Early Prenatal Care for Black, Non-Hispanic,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N/A</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15. Percentage Early Prenatal Care for Hispanic/Latino,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65.4%</w:t>
            </w:r>
          </w:p>
        </w:tc>
      </w:tr>
      <w:tr w:rsidR="001670EC" w:rsidRPr="00680D98" w:rsidTr="0031631C">
        <w:trPr>
          <w:trHeight w:val="327"/>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16. Percentage APGAR Scores of Less Than Five at Five Minute Mark of Births Where APGAR Score is Known,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0.5%</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17. Rate of Newborn Drug Related Hospitalizations per 10,000 Births,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5</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2</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4</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63.1</w:t>
            </w:r>
          </w:p>
        </w:tc>
      </w:tr>
      <w:tr w:rsidR="001670EC" w:rsidRPr="00680D98" w:rsidTr="0031631C">
        <w:trPr>
          <w:trHeight w:val="219"/>
        </w:trPr>
        <w:tc>
          <w:tcPr>
            <w:tcW w:w="0" w:type="auto"/>
            <w:tcBorders>
              <w:top w:val="nil"/>
              <w:left w:val="single" w:sz="8" w:space="0" w:color="auto"/>
              <w:bottom w:val="single" w:sz="4" w:space="0" w:color="BFBFBF"/>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18. Percentage WIC Women Breastfed at Six months, '08 - 10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692C1A" w:rsidRDefault="001670EC" w:rsidP="005B3FC2">
            <w:pPr>
              <w:spacing w:after="0" w:line="240" w:lineRule="auto"/>
              <w:rPr>
                <w:color w:val="000000"/>
                <w:sz w:val="18"/>
                <w:szCs w:val="18"/>
              </w:rPr>
            </w:pPr>
            <w:r w:rsidRPr="00692C1A">
              <w:rPr>
                <w:color w:val="000000"/>
                <w:sz w:val="18"/>
                <w:szCs w:val="18"/>
              </w:rPr>
              <w:t> </w:t>
            </w:r>
          </w:p>
        </w:tc>
        <w:tc>
          <w:tcPr>
            <w:tcW w:w="0" w:type="auto"/>
            <w:tcBorders>
              <w:top w:val="single" w:sz="4" w:space="0" w:color="BFBFBF"/>
              <w:left w:val="nil"/>
              <w:bottom w:val="single" w:sz="4" w:space="0" w:color="BFBFBF"/>
              <w:right w:val="single" w:sz="8" w:space="0" w:color="auto"/>
            </w:tcBorders>
            <w:shd w:val="clear" w:color="000000" w:fill="FFFF00"/>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12.5%</w:t>
            </w:r>
          </w:p>
        </w:tc>
      </w:tr>
      <w:tr w:rsidR="001670EC" w:rsidRPr="00680D98" w:rsidTr="0031631C">
        <w:trPr>
          <w:trHeight w:val="219"/>
        </w:trPr>
        <w:tc>
          <w:tcPr>
            <w:tcW w:w="0" w:type="auto"/>
            <w:tcBorders>
              <w:top w:val="nil"/>
              <w:left w:val="single" w:sz="8" w:space="0" w:color="auto"/>
              <w:bottom w:val="single" w:sz="4" w:space="0" w:color="auto"/>
              <w:right w:val="single" w:sz="8" w:space="0" w:color="auto"/>
            </w:tcBorders>
            <w:vAlign w:val="bottom"/>
          </w:tcPr>
          <w:p w:rsidR="001670EC" w:rsidRPr="005B3FC2" w:rsidRDefault="001670EC" w:rsidP="005B3FC2">
            <w:pPr>
              <w:spacing w:after="0" w:line="240" w:lineRule="auto"/>
              <w:rPr>
                <w:color w:val="000000"/>
                <w:sz w:val="17"/>
                <w:szCs w:val="17"/>
              </w:rPr>
            </w:pPr>
            <w:r w:rsidRPr="005B3FC2">
              <w:rPr>
                <w:color w:val="000000"/>
                <w:sz w:val="17"/>
                <w:szCs w:val="17"/>
              </w:rPr>
              <w:t>19. Percentage Infants Receiving Any Breast Milk in Delivery Hospital, '08 - 10</w:t>
            </w:r>
          </w:p>
        </w:tc>
        <w:tc>
          <w:tcPr>
            <w:tcW w:w="0" w:type="auto"/>
            <w:tcBorders>
              <w:top w:val="nil"/>
              <w:left w:val="nil"/>
              <w:bottom w:val="single" w:sz="4" w:space="0" w:color="auto"/>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301</w:t>
            </w:r>
          </w:p>
        </w:tc>
        <w:tc>
          <w:tcPr>
            <w:tcW w:w="0" w:type="auto"/>
            <w:tcBorders>
              <w:top w:val="nil"/>
              <w:left w:val="nil"/>
              <w:bottom w:val="single" w:sz="4" w:space="0" w:color="auto"/>
              <w:right w:val="single" w:sz="4"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332</w:t>
            </w:r>
          </w:p>
        </w:tc>
        <w:tc>
          <w:tcPr>
            <w:tcW w:w="0" w:type="auto"/>
            <w:tcBorders>
              <w:top w:val="nil"/>
              <w:left w:val="nil"/>
              <w:bottom w:val="single" w:sz="4" w:space="0" w:color="auto"/>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315</w:t>
            </w:r>
          </w:p>
        </w:tc>
        <w:tc>
          <w:tcPr>
            <w:tcW w:w="0" w:type="auto"/>
            <w:tcBorders>
              <w:top w:val="nil"/>
              <w:left w:val="nil"/>
              <w:bottom w:val="single" w:sz="4" w:space="0" w:color="auto"/>
              <w:right w:val="single" w:sz="8" w:space="0" w:color="auto"/>
            </w:tcBorders>
            <w:shd w:val="clear" w:color="000000" w:fill="FFFFFF"/>
            <w:noWrap/>
            <w:vAlign w:val="bottom"/>
          </w:tcPr>
          <w:p w:rsidR="001670EC" w:rsidRPr="00692C1A" w:rsidRDefault="001670EC" w:rsidP="005B3FC2">
            <w:pPr>
              <w:spacing w:after="0" w:line="240" w:lineRule="auto"/>
              <w:jc w:val="right"/>
              <w:rPr>
                <w:color w:val="000000"/>
                <w:sz w:val="18"/>
                <w:szCs w:val="18"/>
              </w:rPr>
            </w:pPr>
            <w:r w:rsidRPr="00692C1A">
              <w:rPr>
                <w:color w:val="000000"/>
                <w:sz w:val="18"/>
                <w:szCs w:val="18"/>
              </w:rPr>
              <w:t>54.4%</w:t>
            </w:r>
          </w:p>
        </w:tc>
      </w:tr>
      <w:tr w:rsidR="001670EC" w:rsidRPr="00680D98" w:rsidTr="0031631C">
        <w:trPr>
          <w:trHeight w:val="114"/>
        </w:trPr>
        <w:tc>
          <w:tcPr>
            <w:tcW w:w="0" w:type="auto"/>
            <w:gridSpan w:val="5"/>
            <w:tcBorders>
              <w:top w:val="single" w:sz="4" w:space="0" w:color="auto"/>
              <w:left w:val="single" w:sz="8" w:space="0" w:color="auto"/>
              <w:bottom w:val="double" w:sz="6" w:space="0" w:color="auto"/>
              <w:right w:val="single" w:sz="8" w:space="0" w:color="auto"/>
            </w:tcBorders>
            <w:shd w:val="clear" w:color="000000" w:fill="BFBFBF"/>
            <w:vAlign w:val="bottom"/>
          </w:tcPr>
          <w:p w:rsidR="001670EC" w:rsidRPr="00BC49EF" w:rsidRDefault="001670EC" w:rsidP="005B3FC2">
            <w:pPr>
              <w:spacing w:after="0" w:line="240" w:lineRule="auto"/>
              <w:jc w:val="center"/>
              <w:rPr>
                <w:b/>
                <w:bCs/>
                <w:color w:val="000000"/>
                <w:sz w:val="18"/>
                <w:szCs w:val="18"/>
              </w:rPr>
            </w:pPr>
            <w:r w:rsidRPr="00BC49EF">
              <w:rPr>
                <w:b/>
                <w:bCs/>
                <w:color w:val="000000"/>
                <w:sz w:val="18"/>
                <w:szCs w:val="18"/>
              </w:rPr>
              <w:t>Summary for Other Indicators</w:t>
            </w:r>
          </w:p>
        </w:tc>
      </w:tr>
    </w:tbl>
    <w:p w:rsidR="001670EC" w:rsidRDefault="001670EC" w:rsidP="002A4C69">
      <w:pPr>
        <w:pStyle w:val="Heading2"/>
      </w:pPr>
    </w:p>
    <w:tbl>
      <w:tblPr>
        <w:tblW w:w="5000" w:type="pct"/>
        <w:tblLook w:val="00A0"/>
      </w:tblPr>
      <w:tblGrid>
        <w:gridCol w:w="5006"/>
        <w:gridCol w:w="684"/>
        <w:gridCol w:w="684"/>
        <w:gridCol w:w="774"/>
        <w:gridCol w:w="2428"/>
      </w:tblGrid>
      <w:tr w:rsidR="001670EC" w:rsidRPr="00680D98" w:rsidTr="00622A7D">
        <w:trPr>
          <w:trHeight w:val="2"/>
        </w:trPr>
        <w:tc>
          <w:tcPr>
            <w:tcW w:w="2614" w:type="pct"/>
            <w:tcBorders>
              <w:left w:val="single" w:sz="8" w:space="0" w:color="auto"/>
              <w:bottom w:val="nil"/>
              <w:right w:val="single" w:sz="8" w:space="0" w:color="auto"/>
            </w:tcBorders>
            <w:shd w:val="clear" w:color="000000" w:fill="A5A5A5"/>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118" w:type="pct"/>
            <w:gridSpan w:val="3"/>
            <w:tcBorders>
              <w:left w:val="nil"/>
              <w:bottom w:val="nil"/>
              <w:right w:val="single" w:sz="8" w:space="0" w:color="000000"/>
            </w:tcBorders>
            <w:shd w:val="clear" w:color="000000" w:fill="A5A5A5"/>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Number Per Year</w:t>
            </w:r>
          </w:p>
        </w:tc>
        <w:tc>
          <w:tcPr>
            <w:tcW w:w="1267" w:type="pct"/>
            <w:vMerge w:val="restart"/>
            <w:tcBorders>
              <w:left w:val="single" w:sz="8" w:space="0" w:color="auto"/>
              <w:bottom w:val="single" w:sz="4" w:space="0" w:color="000000"/>
            </w:tcBorders>
            <w:shd w:val="clear" w:color="000000" w:fill="A5A5A5"/>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Average Rate, Ratio or Percentage for the Listed Years</w:t>
            </w:r>
          </w:p>
        </w:tc>
      </w:tr>
      <w:tr w:rsidR="001670EC" w:rsidRPr="00680D98" w:rsidTr="00622A7D">
        <w:trPr>
          <w:trHeight w:val="2"/>
        </w:trPr>
        <w:tc>
          <w:tcPr>
            <w:tcW w:w="2614" w:type="pct"/>
            <w:tcBorders>
              <w:top w:val="nil"/>
              <w:left w:val="single" w:sz="8" w:space="0" w:color="auto"/>
              <w:bottom w:val="nil"/>
              <w:right w:val="single" w:sz="8" w:space="0" w:color="auto"/>
            </w:tcBorders>
            <w:shd w:val="clear" w:color="000000" w:fill="A5A5A5"/>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118" w:type="pct"/>
            <w:gridSpan w:val="3"/>
            <w:tcBorders>
              <w:top w:val="nil"/>
              <w:left w:val="nil"/>
              <w:bottom w:val="single" w:sz="4" w:space="0" w:color="auto"/>
              <w:right w:val="single" w:sz="8" w:space="0" w:color="000000"/>
            </w:tcBorders>
            <w:shd w:val="clear" w:color="000000" w:fill="A5A5A5"/>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(If Available)</w:t>
            </w:r>
          </w:p>
        </w:tc>
        <w:tc>
          <w:tcPr>
            <w:tcW w:w="1267" w:type="pct"/>
            <w:vMerge/>
            <w:tcBorders>
              <w:top w:val="single" w:sz="8" w:space="0" w:color="auto"/>
              <w:left w:val="single" w:sz="8" w:space="0" w:color="auto"/>
              <w:bottom w:val="single" w:sz="4" w:space="0" w:color="000000"/>
            </w:tcBorders>
            <w:vAlign w:val="center"/>
          </w:tcPr>
          <w:p w:rsidR="001670EC" w:rsidRPr="00603D2C" w:rsidRDefault="001670EC" w:rsidP="00603D2C">
            <w:pPr>
              <w:spacing w:after="0" w:line="240" w:lineRule="auto"/>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single" w:sz="8" w:space="0" w:color="auto"/>
            </w:tcBorders>
            <w:shd w:val="clear" w:color="000000" w:fill="A5A5A5"/>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r w:rsidRPr="00603D2C">
              <w:rPr>
                <w:b/>
                <w:bCs/>
                <w:color w:val="000000"/>
              </w:rPr>
              <w:t>Focus Area: Preconception and Reproductive Health</w:t>
            </w:r>
          </w:p>
        </w:tc>
        <w:tc>
          <w:tcPr>
            <w:tcW w:w="357" w:type="pct"/>
            <w:tcBorders>
              <w:top w:val="nil"/>
              <w:left w:val="nil"/>
              <w:bottom w:val="single" w:sz="4" w:space="0" w:color="auto"/>
              <w:right w:val="single" w:sz="4" w:space="0" w:color="auto"/>
            </w:tcBorders>
            <w:shd w:val="clear" w:color="000000" w:fill="A5A5A5"/>
            <w:noWrap/>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One</w:t>
            </w:r>
          </w:p>
        </w:tc>
        <w:tc>
          <w:tcPr>
            <w:tcW w:w="357" w:type="pct"/>
            <w:tcBorders>
              <w:top w:val="nil"/>
              <w:left w:val="nil"/>
              <w:bottom w:val="single" w:sz="4" w:space="0" w:color="auto"/>
              <w:right w:val="single" w:sz="4" w:space="0" w:color="auto"/>
            </w:tcBorders>
            <w:shd w:val="clear" w:color="000000" w:fill="A5A5A5"/>
            <w:noWrap/>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Two</w:t>
            </w:r>
          </w:p>
        </w:tc>
        <w:tc>
          <w:tcPr>
            <w:tcW w:w="404" w:type="pct"/>
            <w:tcBorders>
              <w:top w:val="nil"/>
              <w:left w:val="nil"/>
              <w:bottom w:val="single" w:sz="4" w:space="0" w:color="auto"/>
              <w:right w:val="single" w:sz="8" w:space="0" w:color="auto"/>
            </w:tcBorders>
            <w:shd w:val="clear" w:color="000000" w:fill="A5A5A5"/>
            <w:noWrap/>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Three</w:t>
            </w:r>
          </w:p>
        </w:tc>
        <w:tc>
          <w:tcPr>
            <w:tcW w:w="1267" w:type="pct"/>
            <w:vMerge/>
            <w:tcBorders>
              <w:top w:val="single" w:sz="8" w:space="0" w:color="auto"/>
              <w:left w:val="single" w:sz="8" w:space="0" w:color="auto"/>
              <w:bottom w:val="single" w:sz="4" w:space="0" w:color="000000"/>
            </w:tcBorders>
            <w:vAlign w:val="center"/>
          </w:tcPr>
          <w:p w:rsidR="001670EC" w:rsidRPr="00603D2C" w:rsidRDefault="001670EC" w:rsidP="00603D2C">
            <w:pPr>
              <w:spacing w:after="0" w:line="240" w:lineRule="auto"/>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Prevention Agenda Indicators</w:t>
            </w:r>
          </w:p>
        </w:tc>
        <w:tc>
          <w:tcPr>
            <w:tcW w:w="2386" w:type="pct"/>
            <w:gridSpan w:val="4"/>
            <w:tcBorders>
              <w:top w:val="single" w:sz="4" w:space="0" w:color="auto"/>
              <w:left w:val="single" w:sz="8" w:space="0" w:color="auto"/>
              <w:bottom w:val="single" w:sz="4" w:space="0" w:color="auto"/>
            </w:tcBorders>
            <w:shd w:val="clear" w:color="000000" w:fill="FFFFFF"/>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 Percent of Births within 24 months of Previous Pregnancy,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170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131</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127</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24.6%</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 Rate of Pregnancies Ages 15 - 17 year per 1,000 Females Ages 15-17,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23</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29</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17</w:t>
            </w:r>
          </w:p>
        </w:tc>
        <w:tc>
          <w:tcPr>
            <w:tcW w:w="1267" w:type="pct"/>
            <w:tcBorders>
              <w:top w:val="single" w:sz="4" w:space="0" w:color="BFBFBF"/>
              <w:left w:val="single" w:sz="8" w:space="0" w:color="auto"/>
              <w:bottom w:val="single" w:sz="4" w:space="0" w:color="BFBFBF"/>
              <w:right w:val="single" w:sz="8" w:space="0" w:color="auto"/>
            </w:tcBorders>
            <w:shd w:val="clear" w:color="000000" w:fill="auto"/>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19.7</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3. Ratio of Pregnancy Rates for Ages 15 - 17 Black, non-Hispanic to White, non-Hispanic,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2.43</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4. Ratio of Pregnancy Rates for Ages 15 - 17 Hispanic/Latino to White, non-Hispanic,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2.53</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5. Percent of Unintended Births to Total Births, 2011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33.5%</w:t>
            </w:r>
          </w:p>
        </w:tc>
      </w:tr>
      <w:tr w:rsidR="001670EC" w:rsidRPr="00680D98" w:rsidTr="00622A7D">
        <w:trPr>
          <w:trHeight w:val="2"/>
        </w:trPr>
        <w:tc>
          <w:tcPr>
            <w:tcW w:w="2614" w:type="pct"/>
            <w:tcBorders>
              <w:top w:val="nil"/>
              <w:left w:val="single" w:sz="8" w:space="0" w:color="auto"/>
              <w:bottom w:val="single" w:sz="4" w:space="0" w:color="D8D8D8"/>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6. Ratio of Unintended Births Black, non-Hispanic to White, non-Hispanic, '08 - 10</w:t>
            </w:r>
          </w:p>
        </w:tc>
        <w:tc>
          <w:tcPr>
            <w:tcW w:w="357" w:type="pct"/>
            <w:tcBorders>
              <w:top w:val="nil"/>
              <w:left w:val="single" w:sz="8" w:space="0" w:color="auto"/>
              <w:bottom w:val="single" w:sz="4" w:space="0" w:color="D8D8D8"/>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357" w:type="pct"/>
            <w:tcBorders>
              <w:top w:val="nil"/>
              <w:left w:val="nil"/>
              <w:bottom w:val="single" w:sz="4" w:space="0" w:color="D8D8D8"/>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404" w:type="pct"/>
            <w:tcBorders>
              <w:top w:val="nil"/>
              <w:left w:val="nil"/>
              <w:bottom w:val="single" w:sz="4" w:space="0" w:color="D8D8D8"/>
              <w:right w:val="nil"/>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1267" w:type="pct"/>
            <w:tcBorders>
              <w:top w:val="nil"/>
              <w:left w:val="single" w:sz="8" w:space="0" w:color="auto"/>
              <w:bottom w:val="single" w:sz="4" w:space="0" w:color="D8D8D8"/>
              <w:right w:val="single" w:sz="8" w:space="0" w:color="auto"/>
            </w:tcBorders>
            <w:shd w:val="clear" w:color="000000" w:fill="FFFFFF"/>
            <w:noWrap/>
            <w:vAlign w:val="bottom"/>
          </w:tcPr>
          <w:p w:rsidR="001670EC" w:rsidRPr="00692C1A" w:rsidRDefault="001670EC" w:rsidP="00603D2C">
            <w:pPr>
              <w:spacing w:after="0" w:line="240" w:lineRule="auto"/>
              <w:jc w:val="right"/>
              <w:rPr>
                <w:color w:val="000000"/>
                <w:sz w:val="18"/>
                <w:szCs w:val="18"/>
              </w:rPr>
            </w:pPr>
            <w:r w:rsidRPr="00692C1A">
              <w:rPr>
                <w:color w:val="000000"/>
                <w:sz w:val="18"/>
                <w:szCs w:val="18"/>
              </w:rPr>
              <w:t>N/A</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7. Ratio of Unintended Births Hispanic/Latino to White, non-Hispanic,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92C1A" w:rsidRDefault="001670EC" w:rsidP="00603D2C">
            <w:pPr>
              <w:spacing w:after="0" w:line="240" w:lineRule="auto"/>
              <w:jc w:val="right"/>
              <w:rPr>
                <w:color w:val="000000"/>
                <w:sz w:val="18"/>
                <w:szCs w:val="18"/>
              </w:rPr>
            </w:pPr>
            <w:r w:rsidRPr="00692C1A">
              <w:rPr>
                <w:color w:val="000000"/>
                <w:sz w:val="18"/>
                <w:szCs w:val="18"/>
              </w:rPr>
              <w:t>N/A</w:t>
            </w:r>
          </w:p>
        </w:tc>
      </w:tr>
      <w:tr w:rsidR="001670EC" w:rsidRPr="00680D98" w:rsidTr="00622A7D">
        <w:trPr>
          <w:trHeight w:val="59"/>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8. Ratio of Unintended Births Medicaid to Non-Medicaid, '08 - 10</w:t>
            </w:r>
          </w:p>
        </w:tc>
        <w:tc>
          <w:tcPr>
            <w:tcW w:w="357" w:type="pct"/>
            <w:tcBorders>
              <w:top w:val="nil"/>
              <w:left w:val="nil"/>
              <w:bottom w:val="nil"/>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357" w:type="pct"/>
            <w:tcBorders>
              <w:top w:val="nil"/>
              <w:left w:val="nil"/>
              <w:bottom w:val="nil"/>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404" w:type="pct"/>
            <w:tcBorders>
              <w:top w:val="nil"/>
              <w:left w:val="nil"/>
              <w:bottom w:val="nil"/>
              <w:right w:val="nil"/>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1267" w:type="pct"/>
            <w:tcBorders>
              <w:top w:val="nil"/>
              <w:left w:val="single" w:sz="8" w:space="0" w:color="auto"/>
              <w:bottom w:val="nil"/>
              <w:right w:val="single" w:sz="8" w:space="0" w:color="auto"/>
            </w:tcBorders>
            <w:shd w:val="clear" w:color="000000" w:fill="FFFFFF"/>
            <w:noWrap/>
            <w:vAlign w:val="bottom"/>
          </w:tcPr>
          <w:p w:rsidR="001670EC" w:rsidRPr="00692C1A" w:rsidRDefault="001670EC" w:rsidP="00603D2C">
            <w:pPr>
              <w:spacing w:after="0" w:line="240" w:lineRule="auto"/>
              <w:jc w:val="right"/>
              <w:rPr>
                <w:color w:val="000000"/>
                <w:sz w:val="18"/>
                <w:szCs w:val="18"/>
              </w:rPr>
            </w:pPr>
            <w:r w:rsidRPr="00692C1A">
              <w:rPr>
                <w:color w:val="000000"/>
                <w:sz w:val="18"/>
                <w:szCs w:val="18"/>
              </w:rPr>
              <w:t>1.86</w:t>
            </w:r>
          </w:p>
        </w:tc>
      </w:tr>
      <w:tr w:rsidR="001670EC" w:rsidRPr="00680D98" w:rsidTr="00622A7D">
        <w:trPr>
          <w:trHeight w:val="2"/>
        </w:trPr>
        <w:tc>
          <w:tcPr>
            <w:tcW w:w="2614" w:type="pct"/>
            <w:tcBorders>
              <w:top w:val="nil"/>
              <w:left w:val="single" w:sz="8" w:space="0" w:color="auto"/>
              <w:bottom w:val="single" w:sz="4" w:space="0" w:color="auto"/>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9. Percentage of Women Ages 18- 64 with Health Insurance, '08/09</w:t>
            </w:r>
          </w:p>
        </w:tc>
        <w:tc>
          <w:tcPr>
            <w:tcW w:w="357" w:type="pct"/>
            <w:tcBorders>
              <w:top w:val="single" w:sz="4" w:space="0" w:color="BFBFBF"/>
              <w:left w:val="nil"/>
              <w:bottom w:val="nil"/>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357" w:type="pct"/>
            <w:tcBorders>
              <w:top w:val="single" w:sz="4" w:space="0" w:color="BFBFBF"/>
              <w:left w:val="nil"/>
              <w:bottom w:val="nil"/>
              <w:right w:val="single" w:sz="4" w:space="0" w:color="auto"/>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404" w:type="pct"/>
            <w:tcBorders>
              <w:top w:val="single" w:sz="4" w:space="0" w:color="BFBFBF"/>
              <w:left w:val="nil"/>
              <w:bottom w:val="nil"/>
              <w:right w:val="nil"/>
            </w:tcBorders>
            <w:shd w:val="clear" w:color="000000" w:fill="FFFFFF"/>
            <w:noWrap/>
            <w:vAlign w:val="bottom"/>
          </w:tcPr>
          <w:p w:rsidR="001670EC" w:rsidRPr="00692C1A" w:rsidRDefault="001670EC" w:rsidP="00603D2C">
            <w:pPr>
              <w:spacing w:after="0" w:line="240" w:lineRule="auto"/>
              <w:rPr>
                <w:color w:val="000000"/>
                <w:sz w:val="18"/>
                <w:szCs w:val="18"/>
              </w:rPr>
            </w:pPr>
            <w:r w:rsidRPr="00692C1A">
              <w:rPr>
                <w:color w:val="000000"/>
                <w:sz w:val="18"/>
                <w:szCs w:val="18"/>
              </w:rPr>
              <w:t> </w:t>
            </w:r>
          </w:p>
        </w:tc>
        <w:tc>
          <w:tcPr>
            <w:tcW w:w="1267" w:type="pct"/>
            <w:tcBorders>
              <w:top w:val="single" w:sz="4" w:space="0" w:color="BFBFBF"/>
              <w:left w:val="single" w:sz="8" w:space="0" w:color="auto"/>
              <w:bottom w:val="nil"/>
              <w:right w:val="single" w:sz="8" w:space="0" w:color="auto"/>
            </w:tcBorders>
            <w:shd w:val="clear" w:color="000000" w:fill="FFFFFF"/>
            <w:noWrap/>
            <w:vAlign w:val="bottom"/>
          </w:tcPr>
          <w:p w:rsidR="001670EC" w:rsidRPr="00692C1A" w:rsidRDefault="001670EC" w:rsidP="00603D2C">
            <w:pPr>
              <w:spacing w:after="0" w:line="240" w:lineRule="auto"/>
              <w:jc w:val="right"/>
              <w:rPr>
                <w:color w:val="000000"/>
                <w:sz w:val="18"/>
                <w:szCs w:val="18"/>
              </w:rPr>
            </w:pPr>
            <w:r w:rsidRPr="00692C1A">
              <w:rPr>
                <w:color w:val="000000"/>
                <w:sz w:val="18"/>
                <w:szCs w:val="18"/>
              </w:rPr>
              <w:t>86.6%</w:t>
            </w:r>
          </w:p>
        </w:tc>
      </w:tr>
      <w:tr w:rsidR="001670EC" w:rsidRPr="00680D98" w:rsidTr="00622A7D">
        <w:trPr>
          <w:trHeight w:val="59"/>
        </w:trPr>
        <w:tc>
          <w:tcPr>
            <w:tcW w:w="5000" w:type="pct"/>
            <w:gridSpan w:val="5"/>
            <w:tcBorders>
              <w:top w:val="single" w:sz="4" w:space="0" w:color="auto"/>
              <w:left w:val="single" w:sz="8" w:space="0" w:color="auto"/>
              <w:bottom w:val="double" w:sz="6" w:space="0" w:color="auto"/>
            </w:tcBorders>
            <w:shd w:val="clear" w:color="000000" w:fill="BFBFBF"/>
            <w:vAlign w:val="bottom"/>
          </w:tcPr>
          <w:p w:rsidR="001670EC" w:rsidRPr="005B3FC2" w:rsidRDefault="001670EC" w:rsidP="00603D2C">
            <w:pPr>
              <w:spacing w:after="0" w:line="240" w:lineRule="auto"/>
              <w:jc w:val="center"/>
              <w:rPr>
                <w:b/>
                <w:bCs/>
                <w:color w:val="000000"/>
                <w:sz w:val="17"/>
                <w:szCs w:val="17"/>
              </w:rPr>
            </w:pPr>
            <w:r w:rsidRPr="005B3FC2">
              <w:rPr>
                <w:b/>
                <w:bCs/>
                <w:color w:val="000000"/>
                <w:sz w:val="17"/>
                <w:szCs w:val="17"/>
              </w:rPr>
              <w:t>Summary for Prevention Agenda Indicators</w:t>
            </w: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vAlign w:val="bottom"/>
          </w:tcPr>
          <w:p w:rsidR="001670EC" w:rsidRPr="005B3FC2" w:rsidRDefault="001670EC" w:rsidP="00603D2C">
            <w:pPr>
              <w:spacing w:after="0" w:line="240" w:lineRule="auto"/>
              <w:jc w:val="center"/>
              <w:rPr>
                <w:b/>
                <w:bCs/>
                <w:color w:val="000000"/>
                <w:sz w:val="17"/>
                <w:szCs w:val="17"/>
              </w:rPr>
            </w:pPr>
            <w:r w:rsidRPr="005B3FC2">
              <w:rPr>
                <w:b/>
                <w:bCs/>
                <w:color w:val="000000"/>
                <w:sz w:val="17"/>
                <w:szCs w:val="17"/>
              </w:rPr>
              <w:t>Other Indicators</w:t>
            </w:r>
          </w:p>
        </w:tc>
        <w:tc>
          <w:tcPr>
            <w:tcW w:w="2386" w:type="pct"/>
            <w:gridSpan w:val="4"/>
            <w:tcBorders>
              <w:top w:val="double" w:sz="6" w:space="0" w:color="auto"/>
              <w:left w:val="single" w:sz="8" w:space="0" w:color="auto"/>
              <w:bottom w:val="single" w:sz="4" w:space="0" w:color="auto"/>
            </w:tcBorders>
            <w:shd w:val="clear" w:color="000000" w:fill="FFFFFF"/>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 Rate of Total Births per 1,000 Females Ages 15-44,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632</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556</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555</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56.9</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 Percent Multiple Births of Total Births,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8</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2.7%</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3. Percent C-Sections to Total Births,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227</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234</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210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38.5%</w:t>
            </w:r>
          </w:p>
        </w:tc>
      </w:tr>
      <w:tr w:rsidR="001670EC" w:rsidRPr="00680D98" w:rsidTr="00622A7D">
        <w:trPr>
          <w:trHeight w:val="59"/>
        </w:trPr>
        <w:tc>
          <w:tcPr>
            <w:tcW w:w="2614" w:type="pct"/>
            <w:tcBorders>
              <w:top w:val="nil"/>
              <w:left w:val="single" w:sz="8" w:space="0" w:color="auto"/>
              <w:bottom w:val="single" w:sz="4" w:space="0" w:color="BFBFBF"/>
              <w:right w:val="nil"/>
            </w:tcBorders>
            <w:vAlign w:val="center"/>
          </w:tcPr>
          <w:p w:rsidR="001670EC" w:rsidRPr="005B3FC2" w:rsidRDefault="001670EC" w:rsidP="00603D2C">
            <w:pPr>
              <w:spacing w:after="0" w:line="240" w:lineRule="auto"/>
              <w:rPr>
                <w:color w:val="000000"/>
                <w:sz w:val="17"/>
                <w:szCs w:val="17"/>
              </w:rPr>
            </w:pPr>
            <w:r w:rsidRPr="005B3FC2">
              <w:rPr>
                <w:color w:val="000000"/>
                <w:sz w:val="17"/>
                <w:szCs w:val="17"/>
              </w:rPr>
              <w:t>4. Rate of Total Pregnancies per 1,000 Females Ages 15-44,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793</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731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709</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72.9</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5. Rate of Births Ages 10 - 14 per 1,000 Females Ages 10-14,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0.2</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6. Rate of Pregnancies Ages 10 - 14 per 1,000 Females Ages 10-14,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1.2</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7. Rate of Births Ages 15 - 17 per 1,000 Females Ages 15-17,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12</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16</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10</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10.9</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8. Rate of Births Ages 15 - 19 per 1,000 Females Ages 15-19,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62</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57</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54</w:t>
            </w:r>
          </w:p>
        </w:tc>
        <w:tc>
          <w:tcPr>
            <w:tcW w:w="1267" w:type="pct"/>
            <w:tcBorders>
              <w:top w:val="single" w:sz="4" w:space="0" w:color="BFBFBF"/>
              <w:left w:val="nil"/>
              <w:bottom w:val="single" w:sz="4" w:space="0" w:color="BFBFBF"/>
              <w:right w:val="single" w:sz="8" w:space="0" w:color="auto"/>
            </w:tcBorders>
            <w:shd w:val="clear" w:color="000000" w:fill="FFFF00"/>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32.1</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9. Rate of Pregnancies Ages 15 - 19 per 1,000 Females Ages 5-19,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97</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100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80</w:t>
            </w:r>
          </w:p>
        </w:tc>
        <w:tc>
          <w:tcPr>
            <w:tcW w:w="1267" w:type="pct"/>
            <w:tcBorders>
              <w:top w:val="single" w:sz="4" w:space="0" w:color="BFBFBF"/>
              <w:left w:val="nil"/>
              <w:bottom w:val="single" w:sz="4" w:space="0" w:color="BFBFBF"/>
              <w:right w:val="single" w:sz="8" w:space="0" w:color="auto"/>
            </w:tcBorders>
            <w:shd w:val="clear" w:color="000000" w:fill="auto"/>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51.4</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10. Rate of Births Ages 18 - 19 per 1,000 Females Ages 18-19,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44</w:t>
            </w:r>
          </w:p>
        </w:tc>
        <w:tc>
          <w:tcPr>
            <w:tcW w:w="1267" w:type="pct"/>
            <w:tcBorders>
              <w:top w:val="single" w:sz="4" w:space="0" w:color="BFBFBF"/>
              <w:left w:val="nil"/>
              <w:bottom w:val="single" w:sz="4" w:space="0" w:color="BFBFBF"/>
              <w:right w:val="single" w:sz="8" w:space="0" w:color="auto"/>
            </w:tcBorders>
            <w:shd w:val="clear" w:color="000000" w:fill="FFFF00"/>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71.3</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11. Rate of Pregnancies Ages 18 - 19 per 1,000 Females Ages 18-19,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63</w:t>
            </w:r>
          </w:p>
        </w:tc>
        <w:tc>
          <w:tcPr>
            <w:tcW w:w="1267" w:type="pct"/>
            <w:tcBorders>
              <w:top w:val="single" w:sz="4" w:space="0" w:color="BFBFBF"/>
              <w:left w:val="nil"/>
              <w:bottom w:val="single" w:sz="4" w:space="0" w:color="BFBFBF"/>
              <w:right w:val="single" w:sz="8" w:space="0" w:color="auto"/>
            </w:tcBorders>
            <w:shd w:val="clear" w:color="000000" w:fill="FFFF00"/>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109.9</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12. Percent Total Births to Women Ages 35 Plus,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62</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52</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10.6%</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13. Rate of Abortions Ages 15 - 19 per 100 Live Births, Mothers Ages 15-19,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42</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26</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5.7</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14. Rate of Abortions All Ages per 100 Live Births to All Mothers,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139</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166</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25.5</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15. Percentage of WIC Women Pre-pregnancy Underweight,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18</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17</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4.9%</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Default="001670EC" w:rsidP="00603D2C">
            <w:pPr>
              <w:spacing w:after="0" w:line="240" w:lineRule="auto"/>
              <w:rPr>
                <w:color w:val="000000"/>
                <w:sz w:val="17"/>
                <w:szCs w:val="17"/>
              </w:rPr>
            </w:pPr>
          </w:p>
          <w:p w:rsidR="001670EC" w:rsidRPr="005B3FC2" w:rsidRDefault="001670EC" w:rsidP="00603D2C">
            <w:pPr>
              <w:spacing w:after="0" w:line="240" w:lineRule="auto"/>
              <w:rPr>
                <w:color w:val="000000"/>
                <w:sz w:val="17"/>
                <w:szCs w:val="17"/>
              </w:rPr>
            </w:pPr>
            <w:r w:rsidRPr="005B3FC2">
              <w:rPr>
                <w:color w:val="000000"/>
                <w:sz w:val="17"/>
                <w:szCs w:val="17"/>
              </w:rPr>
              <w:t>16. Percentage of WIC Women Pre-pregnancy Overweight but not Obese, '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78</w:t>
            </w:r>
          </w:p>
        </w:tc>
        <w:tc>
          <w:tcPr>
            <w:tcW w:w="357" w:type="pct"/>
            <w:tcBorders>
              <w:top w:val="nil"/>
              <w:left w:val="nil"/>
              <w:bottom w:val="single" w:sz="4" w:space="0" w:color="BFBFBF"/>
              <w:right w:val="single" w:sz="4"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74</w:t>
            </w:r>
          </w:p>
        </w:tc>
        <w:tc>
          <w:tcPr>
            <w:tcW w:w="404" w:type="pct"/>
            <w:tcBorders>
              <w:top w:val="nil"/>
              <w:left w:val="nil"/>
              <w:bottom w:val="single" w:sz="4" w:space="0" w:color="BFBFBF"/>
              <w:right w:val="single" w:sz="8"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58</w:t>
            </w:r>
          </w:p>
        </w:tc>
        <w:tc>
          <w:tcPr>
            <w:tcW w:w="1267" w:type="pct"/>
            <w:tcBorders>
              <w:top w:val="nil"/>
              <w:left w:val="nil"/>
              <w:bottom w:val="single" w:sz="4" w:space="0" w:color="BFBFBF"/>
              <w:right w:val="single" w:sz="8"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23.5%</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17. Percentage of WIC Women Pre-pregnancy Obese,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113</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86</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80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31.2%</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18. Percentage of WIC Women with Gestational Weight Gain Greater than Ideal,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131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141</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48.6%</w:t>
            </w:r>
          </w:p>
        </w:tc>
      </w:tr>
      <w:tr w:rsidR="001670EC" w:rsidRPr="00680D98" w:rsidTr="00622A7D">
        <w:trPr>
          <w:trHeight w:val="59"/>
        </w:trPr>
        <w:tc>
          <w:tcPr>
            <w:tcW w:w="2614" w:type="pct"/>
            <w:tcBorders>
              <w:top w:val="nil"/>
              <w:left w:val="single" w:sz="8" w:space="0" w:color="auto"/>
              <w:bottom w:val="single" w:sz="4" w:space="0" w:color="D8D8D8"/>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19. Percentage of WIC Women with Gestational Diabetes, '08 - 10</w:t>
            </w:r>
          </w:p>
        </w:tc>
        <w:tc>
          <w:tcPr>
            <w:tcW w:w="357" w:type="pct"/>
            <w:tcBorders>
              <w:top w:val="nil"/>
              <w:left w:val="single" w:sz="8" w:space="0" w:color="auto"/>
              <w:bottom w:val="single" w:sz="4" w:space="0" w:color="D8D8D8"/>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w:t>
            </w:r>
          </w:p>
        </w:tc>
        <w:tc>
          <w:tcPr>
            <w:tcW w:w="357" w:type="pct"/>
            <w:tcBorders>
              <w:top w:val="nil"/>
              <w:left w:val="nil"/>
              <w:bottom w:val="single" w:sz="4" w:space="0" w:color="D8D8D8"/>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16</w:t>
            </w:r>
          </w:p>
        </w:tc>
        <w:tc>
          <w:tcPr>
            <w:tcW w:w="404" w:type="pct"/>
            <w:tcBorders>
              <w:top w:val="nil"/>
              <w:left w:val="nil"/>
              <w:bottom w:val="single" w:sz="4" w:space="0" w:color="D8D8D8"/>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18</w:t>
            </w:r>
          </w:p>
        </w:tc>
        <w:tc>
          <w:tcPr>
            <w:tcW w:w="1267" w:type="pct"/>
            <w:tcBorders>
              <w:top w:val="nil"/>
              <w:left w:val="nil"/>
              <w:bottom w:val="single" w:sz="4" w:space="0" w:color="D8D8D8"/>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5.0%</w:t>
            </w:r>
          </w:p>
        </w:tc>
      </w:tr>
      <w:tr w:rsidR="001670EC" w:rsidRPr="00680D98" w:rsidTr="00622A7D">
        <w:trPr>
          <w:trHeight w:val="2"/>
        </w:trPr>
        <w:tc>
          <w:tcPr>
            <w:tcW w:w="2614" w:type="pct"/>
            <w:tcBorders>
              <w:top w:val="nil"/>
              <w:left w:val="single" w:sz="8" w:space="0" w:color="auto"/>
              <w:bottom w:val="single" w:sz="4" w:space="0" w:color="auto"/>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20. Percentage of WIC Women with Gestational Hypertension, '08 - 10</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28</w:t>
            </w:r>
          </w:p>
        </w:tc>
        <w:tc>
          <w:tcPr>
            <w:tcW w:w="357" w:type="pct"/>
            <w:tcBorders>
              <w:top w:val="nil"/>
              <w:left w:val="nil"/>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28</w:t>
            </w:r>
          </w:p>
        </w:tc>
        <w:tc>
          <w:tcPr>
            <w:tcW w:w="404" w:type="pct"/>
            <w:tcBorders>
              <w:top w:val="nil"/>
              <w:left w:val="nil"/>
              <w:bottom w:val="single" w:sz="4" w:space="0" w:color="auto"/>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26</w:t>
            </w:r>
          </w:p>
        </w:tc>
        <w:tc>
          <w:tcPr>
            <w:tcW w:w="1267" w:type="pct"/>
            <w:tcBorders>
              <w:top w:val="nil"/>
              <w:left w:val="nil"/>
              <w:bottom w:val="single" w:sz="4" w:space="0" w:color="auto"/>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9.9%</w:t>
            </w:r>
          </w:p>
        </w:tc>
      </w:tr>
      <w:tr w:rsidR="001670EC" w:rsidRPr="00680D98" w:rsidTr="00622A7D">
        <w:trPr>
          <w:trHeight w:val="59"/>
        </w:trPr>
        <w:tc>
          <w:tcPr>
            <w:tcW w:w="5000" w:type="pct"/>
            <w:gridSpan w:val="5"/>
            <w:tcBorders>
              <w:top w:val="single" w:sz="4" w:space="0" w:color="auto"/>
              <w:left w:val="single" w:sz="8" w:space="0" w:color="auto"/>
              <w:bottom w:val="double" w:sz="6" w:space="0" w:color="auto"/>
              <w:right w:val="single" w:sz="8" w:space="0" w:color="auto"/>
            </w:tcBorders>
            <w:shd w:val="clear" w:color="000000" w:fill="BFBFBF"/>
            <w:vAlign w:val="bottom"/>
          </w:tcPr>
          <w:p w:rsidR="001670EC" w:rsidRDefault="001670EC" w:rsidP="00603D2C">
            <w:pPr>
              <w:spacing w:after="0" w:line="240" w:lineRule="auto"/>
              <w:jc w:val="center"/>
              <w:rPr>
                <w:b/>
                <w:bCs/>
                <w:color w:val="000000"/>
                <w:sz w:val="18"/>
                <w:szCs w:val="18"/>
              </w:rPr>
            </w:pPr>
            <w:r w:rsidRPr="00603D2C">
              <w:rPr>
                <w:b/>
                <w:bCs/>
                <w:color w:val="000000"/>
                <w:sz w:val="18"/>
                <w:szCs w:val="18"/>
              </w:rPr>
              <w:t>Summary for Other Indicators</w:t>
            </w: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Default="001670EC" w:rsidP="00603D2C">
            <w:pPr>
              <w:spacing w:after="0" w:line="240" w:lineRule="auto"/>
              <w:jc w:val="center"/>
              <w:rPr>
                <w:b/>
                <w:bCs/>
                <w:color w:val="000000"/>
                <w:sz w:val="18"/>
                <w:szCs w:val="18"/>
              </w:rPr>
            </w:pPr>
          </w:p>
          <w:p w:rsidR="001670EC" w:rsidRPr="00603D2C" w:rsidRDefault="001670EC" w:rsidP="00603D2C">
            <w:pPr>
              <w:spacing w:after="0" w:line="240" w:lineRule="auto"/>
              <w:jc w:val="center"/>
              <w:rPr>
                <w:b/>
                <w:bCs/>
                <w:color w:val="000000"/>
                <w:sz w:val="18"/>
                <w:szCs w:val="18"/>
              </w:rPr>
            </w:pPr>
          </w:p>
        </w:tc>
      </w:tr>
      <w:tr w:rsidR="001670EC" w:rsidRPr="00680D98" w:rsidTr="00622A7D">
        <w:trPr>
          <w:trHeight w:val="2"/>
        </w:trPr>
        <w:tc>
          <w:tcPr>
            <w:tcW w:w="2614" w:type="pct"/>
            <w:tcBorders>
              <w:top w:val="single" w:sz="8" w:space="0" w:color="auto"/>
              <w:left w:val="single" w:sz="8" w:space="0" w:color="auto"/>
              <w:bottom w:val="nil"/>
              <w:right w:val="single" w:sz="8" w:space="0" w:color="auto"/>
            </w:tcBorders>
            <w:shd w:val="clear" w:color="000000" w:fill="A5A5A5"/>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118" w:type="pct"/>
            <w:gridSpan w:val="3"/>
            <w:tcBorders>
              <w:top w:val="single" w:sz="8" w:space="0" w:color="auto"/>
              <w:left w:val="nil"/>
              <w:bottom w:val="nil"/>
              <w:right w:val="single" w:sz="8" w:space="0" w:color="000000"/>
            </w:tcBorders>
            <w:shd w:val="clear" w:color="000000" w:fill="A5A5A5"/>
            <w:vAlign w:val="bottom"/>
          </w:tcPr>
          <w:p w:rsidR="001670EC" w:rsidRPr="00603D2C" w:rsidRDefault="001670EC" w:rsidP="00603D2C">
            <w:pPr>
              <w:spacing w:after="0" w:line="240" w:lineRule="auto"/>
              <w:rPr>
                <w:b/>
                <w:bCs/>
                <w:color w:val="000000"/>
                <w:sz w:val="18"/>
                <w:szCs w:val="18"/>
              </w:rPr>
            </w:pPr>
          </w:p>
        </w:tc>
        <w:tc>
          <w:tcPr>
            <w:tcW w:w="1267" w:type="pct"/>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Default="001670EC" w:rsidP="005B3FC2">
            <w:pPr>
              <w:spacing w:after="0" w:line="240" w:lineRule="auto"/>
              <w:rPr>
                <w:b/>
                <w:bCs/>
                <w:color w:val="000000"/>
                <w:sz w:val="18"/>
                <w:szCs w:val="18"/>
              </w:rPr>
            </w:pPr>
          </w:p>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Average Rate, Ratio or Percentage for the Listed Years</w:t>
            </w:r>
          </w:p>
        </w:tc>
      </w:tr>
      <w:tr w:rsidR="001670EC" w:rsidRPr="00680D98" w:rsidTr="00622A7D">
        <w:trPr>
          <w:trHeight w:val="2"/>
        </w:trPr>
        <w:tc>
          <w:tcPr>
            <w:tcW w:w="2614" w:type="pct"/>
            <w:tcBorders>
              <w:top w:val="nil"/>
              <w:left w:val="single" w:sz="8" w:space="0" w:color="auto"/>
              <w:bottom w:val="nil"/>
              <w:right w:val="single" w:sz="8" w:space="0" w:color="auto"/>
            </w:tcBorders>
            <w:shd w:val="clear" w:color="000000" w:fill="A5A5A5"/>
            <w:vAlign w:val="bottom"/>
          </w:tcPr>
          <w:p w:rsidR="001670EC" w:rsidRDefault="001670EC" w:rsidP="005B3FC2">
            <w:pPr>
              <w:spacing w:after="0" w:line="240" w:lineRule="auto"/>
              <w:rPr>
                <w:b/>
                <w:bCs/>
                <w:color w:val="000000"/>
                <w:sz w:val="18"/>
                <w:szCs w:val="18"/>
              </w:rPr>
            </w:pPr>
          </w:p>
          <w:p w:rsidR="001670EC" w:rsidRPr="00603D2C" w:rsidRDefault="001670EC" w:rsidP="00603D2C">
            <w:pPr>
              <w:spacing w:after="0" w:line="240" w:lineRule="auto"/>
              <w:jc w:val="center"/>
              <w:rPr>
                <w:b/>
                <w:bCs/>
                <w:color w:val="000000"/>
                <w:sz w:val="18"/>
                <w:szCs w:val="18"/>
              </w:rPr>
            </w:pPr>
          </w:p>
        </w:tc>
        <w:tc>
          <w:tcPr>
            <w:tcW w:w="1118" w:type="pct"/>
            <w:gridSpan w:val="3"/>
            <w:tcBorders>
              <w:top w:val="nil"/>
              <w:left w:val="nil"/>
              <w:bottom w:val="single" w:sz="4" w:space="0" w:color="auto"/>
              <w:right w:val="single" w:sz="8" w:space="0" w:color="000000"/>
            </w:tcBorders>
            <w:shd w:val="clear" w:color="000000" w:fill="A5A5A5"/>
            <w:vAlign w:val="bottom"/>
          </w:tcPr>
          <w:p w:rsidR="001670EC" w:rsidRPr="00603D2C" w:rsidRDefault="001670EC" w:rsidP="00603D2C">
            <w:pPr>
              <w:spacing w:after="0" w:line="240" w:lineRule="auto"/>
              <w:rPr>
                <w:b/>
                <w:bCs/>
                <w:color w:val="000000"/>
                <w:sz w:val="18"/>
                <w:szCs w:val="18"/>
              </w:rPr>
            </w:pPr>
            <w:r w:rsidRPr="00603D2C">
              <w:rPr>
                <w:b/>
                <w:bCs/>
                <w:color w:val="000000"/>
                <w:sz w:val="18"/>
                <w:szCs w:val="18"/>
              </w:rPr>
              <w:t xml:space="preserve">Number Per Year </w:t>
            </w:r>
            <w:r>
              <w:rPr>
                <w:b/>
                <w:bCs/>
                <w:color w:val="000000"/>
                <w:sz w:val="18"/>
                <w:szCs w:val="18"/>
              </w:rPr>
              <w:t xml:space="preserve">   </w:t>
            </w:r>
            <w:r w:rsidRPr="00603D2C">
              <w:rPr>
                <w:b/>
                <w:bCs/>
                <w:color w:val="000000"/>
                <w:sz w:val="18"/>
                <w:szCs w:val="18"/>
              </w:rPr>
              <w:t>(If Available)</w:t>
            </w:r>
          </w:p>
        </w:tc>
        <w:tc>
          <w:tcPr>
            <w:tcW w:w="1267" w:type="pct"/>
            <w:vMerge/>
            <w:tcBorders>
              <w:top w:val="single" w:sz="8" w:space="0" w:color="auto"/>
              <w:left w:val="single" w:sz="8" w:space="0" w:color="auto"/>
              <w:bottom w:val="single" w:sz="4" w:space="0" w:color="000000"/>
              <w:right w:val="single" w:sz="8" w:space="0" w:color="auto"/>
            </w:tcBorders>
            <w:vAlign w:val="center"/>
          </w:tcPr>
          <w:p w:rsidR="001670EC" w:rsidRPr="00603D2C" w:rsidRDefault="001670EC" w:rsidP="00603D2C">
            <w:pPr>
              <w:spacing w:after="0" w:line="240" w:lineRule="auto"/>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single" w:sz="8" w:space="0" w:color="auto"/>
            </w:tcBorders>
            <w:shd w:val="clear" w:color="000000" w:fill="A5A5A5"/>
            <w:vAlign w:val="bottom"/>
          </w:tcPr>
          <w:p w:rsidR="001670EC" w:rsidRPr="00603D2C" w:rsidRDefault="001670EC" w:rsidP="00603D2C">
            <w:pPr>
              <w:spacing w:after="0" w:line="240" w:lineRule="auto"/>
              <w:rPr>
                <w:color w:val="000000"/>
                <w:sz w:val="18"/>
                <w:szCs w:val="18"/>
              </w:rPr>
            </w:pPr>
            <w:r w:rsidRPr="00603D2C">
              <w:rPr>
                <w:b/>
                <w:bCs/>
                <w:color w:val="000000"/>
              </w:rPr>
              <w:t>Focus Area: Child Health</w:t>
            </w:r>
          </w:p>
        </w:tc>
        <w:tc>
          <w:tcPr>
            <w:tcW w:w="357" w:type="pct"/>
            <w:tcBorders>
              <w:top w:val="nil"/>
              <w:left w:val="nil"/>
              <w:bottom w:val="single" w:sz="4" w:space="0" w:color="auto"/>
              <w:right w:val="single" w:sz="4" w:space="0" w:color="auto"/>
            </w:tcBorders>
            <w:shd w:val="clear" w:color="000000" w:fill="A5A5A5"/>
            <w:noWrap/>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One</w:t>
            </w:r>
          </w:p>
        </w:tc>
        <w:tc>
          <w:tcPr>
            <w:tcW w:w="357" w:type="pct"/>
            <w:tcBorders>
              <w:top w:val="nil"/>
              <w:left w:val="nil"/>
              <w:bottom w:val="single" w:sz="4" w:space="0" w:color="auto"/>
              <w:right w:val="single" w:sz="4" w:space="0" w:color="auto"/>
            </w:tcBorders>
            <w:shd w:val="clear" w:color="000000" w:fill="A5A5A5"/>
            <w:noWrap/>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Two</w:t>
            </w:r>
          </w:p>
        </w:tc>
        <w:tc>
          <w:tcPr>
            <w:tcW w:w="404" w:type="pct"/>
            <w:tcBorders>
              <w:top w:val="nil"/>
              <w:left w:val="nil"/>
              <w:bottom w:val="single" w:sz="4" w:space="0" w:color="auto"/>
              <w:right w:val="single" w:sz="8" w:space="0" w:color="auto"/>
            </w:tcBorders>
            <w:shd w:val="clear" w:color="000000" w:fill="A5A5A5"/>
            <w:noWrap/>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Three</w:t>
            </w:r>
          </w:p>
        </w:tc>
        <w:tc>
          <w:tcPr>
            <w:tcW w:w="1267" w:type="pct"/>
            <w:vMerge/>
            <w:tcBorders>
              <w:top w:val="single" w:sz="8" w:space="0" w:color="auto"/>
              <w:left w:val="single" w:sz="8" w:space="0" w:color="auto"/>
              <w:bottom w:val="single" w:sz="4" w:space="0" w:color="000000"/>
              <w:right w:val="single" w:sz="8" w:space="0" w:color="auto"/>
            </w:tcBorders>
            <w:vAlign w:val="center"/>
          </w:tcPr>
          <w:p w:rsidR="001670EC" w:rsidRPr="00603D2C" w:rsidRDefault="001670EC" w:rsidP="00603D2C">
            <w:pPr>
              <w:spacing w:after="0" w:line="240" w:lineRule="auto"/>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Prevention Agenda Indicators</w:t>
            </w:r>
          </w:p>
        </w:tc>
        <w:tc>
          <w:tcPr>
            <w:tcW w:w="2386" w:type="pct"/>
            <w:gridSpan w:val="4"/>
            <w:tcBorders>
              <w:top w:val="single" w:sz="4" w:space="0" w:color="auto"/>
              <w:left w:val="single" w:sz="8" w:space="0" w:color="auto"/>
              <w:bottom w:val="single" w:sz="4" w:space="0" w:color="auto"/>
              <w:right w:val="single" w:sz="8" w:space="0" w:color="auto"/>
            </w:tcBorders>
            <w:shd w:val="clear" w:color="000000" w:fill="FFFFFF"/>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 xml:space="preserve">1. Percentage of Children Ages 0 - 15 Months with Government Insurance with Recommended Well Visits, 2011 </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92.2%</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 xml:space="preserve">2. Percentage of Children Ages 3 - 6 Years with Government Insurance with Recommended Well Visits, 2011 </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81.1%</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 xml:space="preserve">3. Percentage of Children Ages 12 -21 Years with Government Insurance with Recommended Well Visits, 2011 </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57.8%</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4. Percentage of Children Ages 0 -19 with Health Insurance, 2010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94.5%</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5. Percentage of 3rd Graders with Untreated Tooth Decay, '09 - 11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N/A</w:t>
            </w:r>
          </w:p>
        </w:tc>
      </w:tr>
      <w:tr w:rsidR="001670EC" w:rsidRPr="00680D98" w:rsidTr="00622A7D">
        <w:trPr>
          <w:trHeight w:val="2"/>
        </w:trPr>
        <w:tc>
          <w:tcPr>
            <w:tcW w:w="2614" w:type="pct"/>
            <w:tcBorders>
              <w:top w:val="nil"/>
              <w:left w:val="single" w:sz="8" w:space="0" w:color="auto"/>
              <w:bottom w:val="single" w:sz="4" w:space="0" w:color="auto"/>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6. Ratio of 3rd Graders with Untreated Tooth Decay, Low Income Children to Non-Low income Children, '09 - 11</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auto"/>
              <w:right w:val="nil"/>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single" w:sz="8" w:space="0" w:color="auto"/>
              <w:bottom w:val="single" w:sz="4" w:space="0" w:color="auto"/>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0.95</w:t>
            </w:r>
          </w:p>
        </w:tc>
      </w:tr>
      <w:tr w:rsidR="001670EC" w:rsidRPr="00680D98" w:rsidTr="00622A7D">
        <w:trPr>
          <w:trHeight w:val="59"/>
        </w:trPr>
        <w:tc>
          <w:tcPr>
            <w:tcW w:w="5000" w:type="pct"/>
            <w:gridSpan w:val="5"/>
            <w:tcBorders>
              <w:top w:val="single" w:sz="4" w:space="0" w:color="auto"/>
              <w:left w:val="single" w:sz="8" w:space="0" w:color="auto"/>
              <w:bottom w:val="double" w:sz="6" w:space="0" w:color="auto"/>
              <w:right w:val="single" w:sz="8" w:space="0" w:color="auto"/>
            </w:tcBorders>
            <w:shd w:val="clear" w:color="000000" w:fill="BFBFBF"/>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Summary for Prevention Agenda Indicators</w:t>
            </w: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Other Indicators</w:t>
            </w:r>
          </w:p>
        </w:tc>
        <w:tc>
          <w:tcPr>
            <w:tcW w:w="2386" w:type="pct"/>
            <w:gridSpan w:val="4"/>
            <w:tcBorders>
              <w:top w:val="double" w:sz="6" w:space="0" w:color="auto"/>
              <w:left w:val="single" w:sz="8" w:space="0" w:color="auto"/>
              <w:bottom w:val="single" w:sz="4" w:space="0" w:color="auto"/>
              <w:right w:val="single" w:sz="8" w:space="0" w:color="auto"/>
            </w:tcBorders>
            <w:shd w:val="clear" w:color="000000" w:fill="FFFFFF"/>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 Rate of Children Deaths Ages 1 - 4 per 100,000 Population Children Ages 1 - 4,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 Rate of Children Deaths Ages 5 - 9 per 100,000 Population Children Ages 1 - 4,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31.8</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3. Rate of Children Deaths Ages 10 - 14 per 100,000 Population Children ages 10 - 14,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4. Rate of Children Deaths Ages 5 - 14 per 100,000 Population Children Ages 5 - 14,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15.1</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5. Rate of Children Deaths Ages 5 - 19 per 100,000 Population Children Ages 15 - 19 ,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26.5</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6. Rate of Children Deaths Ages 1 - 19 per 100,000 Population Children Ages 1 - 19,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15.7</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7. Rate of Asthma Hospitalizations Children Ages 0 - 4 per 10,000 Population Children Ages 0 - 4,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17</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69.5</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8. Rate of Asthma Hospitalizations Children Ages 5 - 14 per 10,000 Population Children Ages 5 - 14,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20</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24.7</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9. Rate of Asthma Hospitalizations Children Ages 0 - 17 per 10,000 Population Children Ages 0 - 17, '8 - 10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35</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30.9</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10. Rate of Gastroenteritis Hospitalizations Children Ages 0 - 4 per 10,000 Population Children Ages 0 - 4,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8</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19.4</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11. Rate of Otitis Media Hospitalizations Children Ages 0 - 4 per 10,000 Population Children Ages 0 - 4,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3.4</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12. Rate of Pneumonia Hospitalizations Children Ages 0 - 4 per 10,000 Population Children Ages 0 - 4,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17</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23</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61.5</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13. Rate of ED Asthma Visits Children Ages 0 - 4 per 10,000 Population Children Ages 0 - 4,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35</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39</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35</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124.1</w:t>
            </w:r>
          </w:p>
        </w:tc>
      </w:tr>
      <w:tr w:rsidR="001670EC" w:rsidRPr="00680D98" w:rsidTr="00622A7D">
        <w:trPr>
          <w:trHeight w:val="59"/>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14. Percentage of Children Screened for Lead by Age 9 months</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3.1%</w:t>
            </w:r>
          </w:p>
        </w:tc>
      </w:tr>
      <w:tr w:rsidR="001670EC" w:rsidRPr="00680D98" w:rsidTr="00622A7D">
        <w:trPr>
          <w:trHeight w:val="59"/>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15. Percentage of Children Screened for Lead by Age 18 months</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56.0%</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16. Percentage of Children Screened for Lead by Age 36 months (at least two screenings)</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44.5%</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17. Rate of Children Ages &lt; 6 with Confirmed Blood Lead Levels &gt;= 10 mg/dl Cases Per 1,000 Children Tested,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32</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23</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21</w:t>
            </w:r>
          </w:p>
        </w:tc>
        <w:tc>
          <w:tcPr>
            <w:tcW w:w="1267"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90.8</w:t>
            </w:r>
          </w:p>
        </w:tc>
      </w:tr>
      <w:tr w:rsidR="001670EC" w:rsidRPr="00680D98" w:rsidTr="00622A7D">
        <w:trPr>
          <w:trHeight w:val="2"/>
        </w:trPr>
        <w:tc>
          <w:tcPr>
            <w:tcW w:w="2614" w:type="pct"/>
            <w:tcBorders>
              <w:top w:val="nil"/>
              <w:left w:val="single" w:sz="8" w:space="0" w:color="auto"/>
              <w:bottom w:val="single" w:sz="8" w:space="0" w:color="auto"/>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18. Rate of Unintentional Injury Hospitalizations for Children Under Age 10 per 10,000 Population Children Under Age 10, '08 - 10</w:t>
            </w:r>
          </w:p>
        </w:tc>
        <w:tc>
          <w:tcPr>
            <w:tcW w:w="357" w:type="pct"/>
            <w:tcBorders>
              <w:top w:val="nil"/>
              <w:left w:val="nil"/>
              <w:bottom w:val="single" w:sz="8" w:space="0" w:color="auto"/>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14</w:t>
            </w:r>
          </w:p>
        </w:tc>
        <w:tc>
          <w:tcPr>
            <w:tcW w:w="357" w:type="pct"/>
            <w:tcBorders>
              <w:top w:val="nil"/>
              <w:left w:val="nil"/>
              <w:bottom w:val="single" w:sz="8" w:space="0" w:color="auto"/>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24</w:t>
            </w:r>
          </w:p>
        </w:tc>
        <w:tc>
          <w:tcPr>
            <w:tcW w:w="404" w:type="pct"/>
            <w:tcBorders>
              <w:top w:val="nil"/>
              <w:left w:val="nil"/>
              <w:bottom w:val="single" w:sz="8" w:space="0" w:color="auto"/>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19</w:t>
            </w:r>
          </w:p>
        </w:tc>
        <w:tc>
          <w:tcPr>
            <w:tcW w:w="1267" w:type="pct"/>
            <w:tcBorders>
              <w:top w:val="nil"/>
              <w:left w:val="nil"/>
              <w:bottom w:val="single" w:sz="8" w:space="0" w:color="auto"/>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31.3</w:t>
            </w:r>
          </w:p>
        </w:tc>
      </w:tr>
      <w:tr w:rsidR="001670EC" w:rsidRPr="00680D98" w:rsidTr="00622A7D">
        <w:trPr>
          <w:trHeight w:val="2"/>
        </w:trPr>
        <w:tc>
          <w:tcPr>
            <w:tcW w:w="2614" w:type="pct"/>
            <w:tcBorders>
              <w:top w:val="single" w:sz="8" w:space="0" w:color="auto"/>
              <w:left w:val="single" w:sz="8" w:space="0" w:color="auto"/>
              <w:bottom w:val="single" w:sz="8" w:space="0" w:color="auto"/>
              <w:right w:val="single" w:sz="8" w:space="0" w:color="auto"/>
            </w:tcBorders>
            <w:vAlign w:val="bottom"/>
          </w:tcPr>
          <w:p w:rsidR="001670EC" w:rsidRDefault="001670EC" w:rsidP="00603D2C">
            <w:pPr>
              <w:spacing w:after="0" w:line="240" w:lineRule="auto"/>
              <w:rPr>
                <w:color w:val="000000"/>
                <w:sz w:val="17"/>
                <w:szCs w:val="17"/>
              </w:rPr>
            </w:pPr>
          </w:p>
          <w:p w:rsidR="001670EC" w:rsidRPr="005B3FC2" w:rsidRDefault="001670EC" w:rsidP="00603D2C">
            <w:pPr>
              <w:spacing w:after="0" w:line="240" w:lineRule="auto"/>
              <w:rPr>
                <w:color w:val="000000"/>
                <w:sz w:val="17"/>
                <w:szCs w:val="17"/>
              </w:rPr>
            </w:pPr>
            <w:r w:rsidRPr="005B3FC2">
              <w:rPr>
                <w:color w:val="000000"/>
                <w:sz w:val="17"/>
                <w:szCs w:val="17"/>
              </w:rPr>
              <w:t>19. Rate of Unintentional Injury Hospitalizations for Children Ages 10 - 14 per 10,000 Population Children Ages 10 - 14, '08 - 10</w:t>
            </w:r>
          </w:p>
        </w:tc>
        <w:tc>
          <w:tcPr>
            <w:tcW w:w="357" w:type="pct"/>
            <w:tcBorders>
              <w:top w:val="single" w:sz="8" w:space="0" w:color="auto"/>
              <w:left w:val="nil"/>
              <w:bottom w:val="single" w:sz="8" w:space="0" w:color="auto"/>
              <w:right w:val="single" w:sz="4"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11</w:t>
            </w:r>
          </w:p>
        </w:tc>
        <w:tc>
          <w:tcPr>
            <w:tcW w:w="357" w:type="pct"/>
            <w:tcBorders>
              <w:top w:val="single" w:sz="8" w:space="0" w:color="auto"/>
              <w:left w:val="nil"/>
              <w:bottom w:val="single" w:sz="8" w:space="0" w:color="auto"/>
              <w:right w:val="single" w:sz="4"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4</w:t>
            </w:r>
          </w:p>
        </w:tc>
        <w:tc>
          <w:tcPr>
            <w:tcW w:w="404" w:type="pct"/>
            <w:tcBorders>
              <w:top w:val="single" w:sz="8" w:space="0" w:color="auto"/>
              <w:left w:val="nil"/>
              <w:bottom w:val="single" w:sz="8" w:space="0" w:color="auto"/>
              <w:right w:val="single" w:sz="8"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8</w:t>
            </w:r>
          </w:p>
        </w:tc>
        <w:tc>
          <w:tcPr>
            <w:tcW w:w="1267" w:type="pct"/>
            <w:tcBorders>
              <w:top w:val="single" w:sz="8" w:space="0" w:color="auto"/>
              <w:left w:val="nil"/>
              <w:bottom w:val="single" w:sz="8" w:space="0" w:color="auto"/>
              <w:right w:val="single" w:sz="4" w:space="0" w:color="auto"/>
            </w:tcBorders>
            <w:shd w:val="clear" w:color="000000" w:fill="FFFFFF"/>
            <w:noWrap/>
            <w:vAlign w:val="bottom"/>
          </w:tcPr>
          <w:p w:rsidR="001670EC" w:rsidRDefault="001670EC" w:rsidP="00603D2C">
            <w:pPr>
              <w:spacing w:after="0" w:line="240" w:lineRule="auto"/>
              <w:jc w:val="right"/>
              <w:rPr>
                <w:color w:val="000000"/>
                <w:sz w:val="18"/>
                <w:szCs w:val="18"/>
              </w:rPr>
            </w:pPr>
          </w:p>
          <w:p w:rsidR="001670EC" w:rsidRDefault="001670EC" w:rsidP="00603D2C">
            <w:pPr>
              <w:spacing w:after="0" w:line="240" w:lineRule="auto"/>
              <w:jc w:val="right"/>
              <w:rPr>
                <w:color w:val="000000"/>
                <w:sz w:val="18"/>
                <w:szCs w:val="18"/>
              </w:rPr>
            </w:pPr>
          </w:p>
          <w:p w:rsidR="001670EC" w:rsidRPr="00603D2C" w:rsidRDefault="001670EC" w:rsidP="00603D2C">
            <w:pPr>
              <w:spacing w:after="0" w:line="240" w:lineRule="auto"/>
              <w:jc w:val="right"/>
              <w:rPr>
                <w:color w:val="000000"/>
                <w:sz w:val="18"/>
                <w:szCs w:val="18"/>
              </w:rPr>
            </w:pPr>
            <w:r w:rsidRPr="00603D2C">
              <w:rPr>
                <w:color w:val="000000"/>
                <w:sz w:val="18"/>
                <w:szCs w:val="18"/>
              </w:rPr>
              <w:t>22.1</w:t>
            </w:r>
          </w:p>
        </w:tc>
      </w:tr>
      <w:tr w:rsidR="001670EC" w:rsidRPr="00680D98" w:rsidTr="00622A7D">
        <w:trPr>
          <w:trHeight w:val="2"/>
        </w:trPr>
        <w:tc>
          <w:tcPr>
            <w:tcW w:w="2614" w:type="pct"/>
            <w:tcBorders>
              <w:top w:val="single" w:sz="8" w:space="0" w:color="auto"/>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20. Rate of Unintentional Injury Hospitalizations for Children/Young Adults Ages 15 - 24 per 10,000 Ages 15 - 24, '08 - 10</w:t>
            </w:r>
          </w:p>
        </w:tc>
        <w:tc>
          <w:tcPr>
            <w:tcW w:w="357" w:type="pct"/>
            <w:tcBorders>
              <w:top w:val="single" w:sz="8" w:space="0" w:color="auto"/>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34</w:t>
            </w:r>
          </w:p>
        </w:tc>
        <w:tc>
          <w:tcPr>
            <w:tcW w:w="357" w:type="pct"/>
            <w:tcBorders>
              <w:top w:val="single" w:sz="8" w:space="0" w:color="auto"/>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32</w:t>
            </w:r>
          </w:p>
        </w:tc>
        <w:tc>
          <w:tcPr>
            <w:tcW w:w="404" w:type="pct"/>
            <w:tcBorders>
              <w:top w:val="single" w:sz="8" w:space="0" w:color="auto"/>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28</w:t>
            </w:r>
          </w:p>
        </w:tc>
        <w:tc>
          <w:tcPr>
            <w:tcW w:w="1267" w:type="pct"/>
            <w:tcBorders>
              <w:top w:val="single" w:sz="8" w:space="0" w:color="auto"/>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44.8</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21. Rate of Asthma ED Visits for Children Ages 0 - 17 per 10,000 Population Children Ages 0 - 17, '07 - 09</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124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99</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124</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98.8</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22. Percentage of Medicaid Enrollees Ages 2 - 20 with at Least One Dental Visit,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36.5%</w:t>
            </w:r>
          </w:p>
        </w:tc>
      </w:tr>
      <w:tr w:rsidR="001670EC" w:rsidRPr="00680D98" w:rsidTr="00622A7D">
        <w:trPr>
          <w:trHeight w:val="59"/>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23 Percentage of 3rd Graders with Dental Caries, '09 - 11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N/A</w:t>
            </w:r>
          </w:p>
        </w:tc>
      </w:tr>
      <w:tr w:rsidR="001670EC" w:rsidRPr="00680D98" w:rsidTr="00622A7D">
        <w:trPr>
          <w:trHeight w:val="59"/>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24. Percentage of 3rd Graders with Dental Sealants, '09 - 11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N/A</w:t>
            </w:r>
          </w:p>
        </w:tc>
      </w:tr>
      <w:tr w:rsidR="001670EC" w:rsidRPr="00680D98" w:rsidTr="00622A7D">
        <w:trPr>
          <w:trHeight w:val="59"/>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25. Percentage of 3rd Graders with Dental Insurance, '09 - 11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N/A</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26. Percentage of 3rd Graders with at Least One Dental Visit, '09 - 11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95.8%</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27. Percentage of 3rd Graders Taking Fluoride Tablets Regularly, '09 - 11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N/A</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28. Rate of Caries ED Visits for Children Ages 3 - 5 per 10,000 Population Children Ages 3 - 5, '08 - 10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7</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5</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26.9</w:t>
            </w:r>
          </w:p>
        </w:tc>
      </w:tr>
      <w:tr w:rsidR="001670EC" w:rsidRPr="00680D98" w:rsidTr="00622A7D">
        <w:trPr>
          <w:trHeight w:val="2"/>
        </w:trPr>
        <w:tc>
          <w:tcPr>
            <w:tcW w:w="2614" w:type="pct"/>
            <w:tcBorders>
              <w:top w:val="nil"/>
              <w:left w:val="single" w:sz="8" w:space="0" w:color="auto"/>
              <w:bottom w:val="single" w:sz="4" w:space="0" w:color="auto"/>
              <w:right w:val="single" w:sz="8" w:space="0" w:color="auto"/>
            </w:tcBorders>
            <w:vAlign w:val="bottom"/>
          </w:tcPr>
          <w:p w:rsidR="001670EC" w:rsidRPr="005B3FC2" w:rsidRDefault="001670EC" w:rsidP="00603D2C">
            <w:pPr>
              <w:spacing w:after="0" w:line="240" w:lineRule="auto"/>
              <w:rPr>
                <w:color w:val="000000"/>
                <w:sz w:val="17"/>
                <w:szCs w:val="17"/>
              </w:rPr>
            </w:pPr>
            <w:r w:rsidRPr="005B3FC2">
              <w:rPr>
                <w:color w:val="000000"/>
                <w:sz w:val="17"/>
                <w:szCs w:val="17"/>
              </w:rPr>
              <w:t>29. Percentage of WIC Children Ages 2 - 4 Viewing Two Hours TV or Less Per Day, '08 - 10</w:t>
            </w:r>
          </w:p>
        </w:tc>
        <w:tc>
          <w:tcPr>
            <w:tcW w:w="357" w:type="pct"/>
            <w:tcBorders>
              <w:top w:val="nil"/>
              <w:left w:val="nil"/>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357" w:type="pct"/>
            <w:tcBorders>
              <w:top w:val="nil"/>
              <w:left w:val="nil"/>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404" w:type="pct"/>
            <w:tcBorders>
              <w:top w:val="nil"/>
              <w:left w:val="nil"/>
              <w:bottom w:val="single" w:sz="4" w:space="0" w:color="auto"/>
              <w:right w:val="single" w:sz="8" w:space="0" w:color="auto"/>
            </w:tcBorders>
            <w:shd w:val="clear" w:color="000000" w:fill="FFFFFF"/>
            <w:noWrap/>
            <w:vAlign w:val="bottom"/>
          </w:tcPr>
          <w:p w:rsidR="001670EC" w:rsidRPr="00603D2C" w:rsidRDefault="001670EC" w:rsidP="00603D2C">
            <w:pPr>
              <w:spacing w:after="0" w:line="240" w:lineRule="auto"/>
              <w:rPr>
                <w:color w:val="000000"/>
                <w:sz w:val="18"/>
                <w:szCs w:val="18"/>
              </w:rPr>
            </w:pPr>
            <w:r w:rsidRPr="00603D2C">
              <w:rPr>
                <w:color w:val="000000"/>
                <w:sz w:val="18"/>
                <w:szCs w:val="18"/>
              </w:rPr>
              <w:t> </w:t>
            </w:r>
          </w:p>
        </w:tc>
        <w:tc>
          <w:tcPr>
            <w:tcW w:w="1267" w:type="pct"/>
            <w:tcBorders>
              <w:top w:val="single" w:sz="4" w:space="0" w:color="BFBFBF"/>
              <w:left w:val="nil"/>
              <w:bottom w:val="single" w:sz="4" w:space="0" w:color="auto"/>
              <w:right w:val="single" w:sz="4" w:space="0" w:color="auto"/>
            </w:tcBorders>
            <w:shd w:val="clear" w:color="000000" w:fill="FFFFFF"/>
            <w:noWrap/>
            <w:vAlign w:val="bottom"/>
          </w:tcPr>
          <w:p w:rsidR="001670EC" w:rsidRPr="00603D2C" w:rsidRDefault="001670EC" w:rsidP="00603D2C">
            <w:pPr>
              <w:spacing w:after="0" w:line="240" w:lineRule="auto"/>
              <w:jc w:val="right"/>
              <w:rPr>
                <w:color w:val="000000"/>
                <w:sz w:val="18"/>
                <w:szCs w:val="18"/>
              </w:rPr>
            </w:pPr>
            <w:r w:rsidRPr="00603D2C">
              <w:rPr>
                <w:color w:val="000000"/>
                <w:sz w:val="18"/>
                <w:szCs w:val="18"/>
              </w:rPr>
              <w:t>69.8%</w:t>
            </w:r>
          </w:p>
        </w:tc>
      </w:tr>
      <w:tr w:rsidR="001670EC" w:rsidRPr="00680D98" w:rsidTr="00622A7D">
        <w:trPr>
          <w:trHeight w:val="59"/>
        </w:trPr>
        <w:tc>
          <w:tcPr>
            <w:tcW w:w="5000" w:type="pct"/>
            <w:gridSpan w:val="5"/>
            <w:tcBorders>
              <w:top w:val="single" w:sz="4" w:space="0" w:color="auto"/>
              <w:left w:val="single" w:sz="8" w:space="0" w:color="auto"/>
              <w:bottom w:val="double" w:sz="6" w:space="0" w:color="auto"/>
            </w:tcBorders>
            <w:shd w:val="clear" w:color="000000" w:fill="BFBFBF"/>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Summary for Other Indicators</w:t>
            </w:r>
          </w:p>
        </w:tc>
      </w:tr>
      <w:tr w:rsidR="001670EC" w:rsidRPr="00680D98" w:rsidTr="00622A7D">
        <w:trPr>
          <w:trHeight w:val="2"/>
        </w:trPr>
        <w:tc>
          <w:tcPr>
            <w:tcW w:w="5000" w:type="pct"/>
            <w:gridSpan w:val="5"/>
            <w:tcBorders>
              <w:top w:val="double" w:sz="6" w:space="0" w:color="auto"/>
              <w:left w:val="single" w:sz="8" w:space="0" w:color="auto"/>
              <w:bottom w:val="single" w:sz="8" w:space="0" w:color="auto"/>
            </w:tcBorders>
            <w:shd w:val="clear" w:color="000000" w:fill="A5A5A5"/>
            <w:vAlign w:val="bottom"/>
          </w:tcPr>
          <w:p w:rsidR="001670EC" w:rsidRPr="00603D2C" w:rsidRDefault="001670EC" w:rsidP="00603D2C">
            <w:pPr>
              <w:spacing w:after="0" w:line="240" w:lineRule="auto"/>
              <w:jc w:val="center"/>
              <w:rPr>
                <w:b/>
                <w:bCs/>
                <w:color w:val="000000"/>
                <w:sz w:val="18"/>
                <w:szCs w:val="18"/>
              </w:rPr>
            </w:pPr>
            <w:r w:rsidRPr="00603D2C">
              <w:rPr>
                <w:b/>
                <w:bCs/>
                <w:color w:val="000000"/>
                <w:sz w:val="18"/>
                <w:szCs w:val="18"/>
              </w:rPr>
              <w:t>Summary for Focus Area Child Health</w:t>
            </w:r>
          </w:p>
        </w:tc>
      </w:tr>
      <w:tr w:rsidR="001670EC" w:rsidRPr="00680D98" w:rsidTr="00622A7D">
        <w:trPr>
          <w:trHeight w:val="2"/>
        </w:trPr>
        <w:tc>
          <w:tcPr>
            <w:tcW w:w="2614" w:type="pct"/>
            <w:tcBorders>
              <w:top w:val="single" w:sz="8" w:space="0" w:color="auto"/>
              <w:left w:val="single" w:sz="8" w:space="0" w:color="auto"/>
              <w:bottom w:val="nil"/>
              <w:right w:val="single" w:sz="8" w:space="0" w:color="auto"/>
            </w:tcBorders>
            <w:shd w:val="clear" w:color="000000" w:fill="A5A5A5"/>
            <w:vAlign w:val="bottom"/>
          </w:tcPr>
          <w:p w:rsidR="001670EC" w:rsidRPr="00680D98" w:rsidRDefault="001670EC" w:rsidP="008631EE">
            <w:pPr>
              <w:rPr>
                <w:b/>
                <w:bCs/>
                <w:color w:val="000000"/>
                <w:sz w:val="18"/>
                <w:szCs w:val="18"/>
              </w:rPr>
            </w:pPr>
            <w:r w:rsidRPr="00680D98">
              <w:rPr>
                <w:b/>
                <w:bCs/>
                <w:color w:val="000000"/>
                <w:sz w:val="18"/>
                <w:szCs w:val="18"/>
              </w:rPr>
              <w:t> </w:t>
            </w:r>
          </w:p>
        </w:tc>
        <w:tc>
          <w:tcPr>
            <w:tcW w:w="1118" w:type="pct"/>
            <w:gridSpan w:val="3"/>
            <w:vMerge w:val="restart"/>
            <w:tcBorders>
              <w:top w:val="single" w:sz="8" w:space="0" w:color="auto"/>
              <w:left w:val="nil"/>
              <w:right w:val="single" w:sz="8" w:space="0" w:color="000000"/>
            </w:tcBorders>
            <w:shd w:val="clear" w:color="000000" w:fill="A5A5A5"/>
            <w:vAlign w:val="bottom"/>
          </w:tcPr>
          <w:p w:rsidR="001670EC" w:rsidRPr="00680D98" w:rsidRDefault="001670EC" w:rsidP="00851356">
            <w:pPr>
              <w:jc w:val="center"/>
              <w:rPr>
                <w:b/>
                <w:bCs/>
                <w:color w:val="000000"/>
                <w:sz w:val="18"/>
                <w:szCs w:val="18"/>
              </w:rPr>
            </w:pPr>
            <w:r w:rsidRPr="00680D98">
              <w:rPr>
                <w:b/>
                <w:bCs/>
                <w:color w:val="000000"/>
                <w:sz w:val="18"/>
                <w:szCs w:val="18"/>
              </w:rPr>
              <w:t>Number Per Year (If Available)</w:t>
            </w:r>
          </w:p>
        </w:tc>
        <w:tc>
          <w:tcPr>
            <w:tcW w:w="1267" w:type="pct"/>
            <w:vMerge w:val="restart"/>
            <w:tcBorders>
              <w:top w:val="single" w:sz="8" w:space="0" w:color="auto"/>
              <w:left w:val="single" w:sz="8" w:space="0" w:color="auto"/>
              <w:bottom w:val="single" w:sz="4" w:space="0" w:color="000000"/>
            </w:tcBorders>
            <w:shd w:val="clear" w:color="000000" w:fill="A5A5A5"/>
            <w:vAlign w:val="bottom"/>
          </w:tcPr>
          <w:p w:rsidR="001670EC" w:rsidRPr="00680D98" w:rsidRDefault="001670EC" w:rsidP="00BA49C3">
            <w:pPr>
              <w:rPr>
                <w:b/>
                <w:bCs/>
                <w:color w:val="000000"/>
                <w:sz w:val="18"/>
                <w:szCs w:val="18"/>
              </w:rPr>
            </w:pPr>
            <w:r w:rsidRPr="00680D98">
              <w:rPr>
                <w:b/>
                <w:bCs/>
                <w:color w:val="000000"/>
                <w:sz w:val="18"/>
                <w:szCs w:val="18"/>
              </w:rPr>
              <w:t>Average Rate, Ratio or Percentage for the Listed Years</w:t>
            </w:r>
          </w:p>
        </w:tc>
      </w:tr>
      <w:tr w:rsidR="001670EC" w:rsidRPr="00680D98" w:rsidTr="00622A7D">
        <w:trPr>
          <w:trHeight w:val="2"/>
        </w:trPr>
        <w:tc>
          <w:tcPr>
            <w:tcW w:w="2614" w:type="pct"/>
            <w:tcBorders>
              <w:top w:val="nil"/>
              <w:left w:val="single" w:sz="8" w:space="0" w:color="auto"/>
              <w:bottom w:val="nil"/>
              <w:right w:val="single" w:sz="8" w:space="0" w:color="auto"/>
            </w:tcBorders>
            <w:shd w:val="clear" w:color="000000" w:fill="A5A5A5"/>
            <w:vAlign w:val="bottom"/>
          </w:tcPr>
          <w:p w:rsidR="001670EC" w:rsidRPr="00680D98" w:rsidRDefault="001670EC" w:rsidP="008631EE">
            <w:pPr>
              <w:rPr>
                <w:b/>
                <w:bCs/>
                <w:color w:val="000000"/>
                <w:sz w:val="18"/>
                <w:szCs w:val="18"/>
              </w:rPr>
            </w:pPr>
          </w:p>
        </w:tc>
        <w:tc>
          <w:tcPr>
            <w:tcW w:w="1118" w:type="pct"/>
            <w:gridSpan w:val="3"/>
            <w:vMerge/>
            <w:tcBorders>
              <w:left w:val="nil"/>
              <w:bottom w:val="single" w:sz="4" w:space="0" w:color="auto"/>
              <w:right w:val="single" w:sz="8" w:space="0" w:color="000000"/>
            </w:tcBorders>
            <w:shd w:val="clear" w:color="000000" w:fill="A5A5A5"/>
            <w:vAlign w:val="bottom"/>
          </w:tcPr>
          <w:p w:rsidR="001670EC" w:rsidRPr="00680D98" w:rsidRDefault="001670EC" w:rsidP="00851356">
            <w:pPr>
              <w:jc w:val="center"/>
              <w:rPr>
                <w:b/>
                <w:bCs/>
                <w:color w:val="000000"/>
                <w:sz w:val="18"/>
                <w:szCs w:val="18"/>
              </w:rPr>
            </w:pPr>
          </w:p>
        </w:tc>
        <w:tc>
          <w:tcPr>
            <w:tcW w:w="1267" w:type="pct"/>
            <w:vMerge/>
            <w:tcBorders>
              <w:top w:val="single" w:sz="8" w:space="0" w:color="auto"/>
              <w:left w:val="single" w:sz="8" w:space="0" w:color="auto"/>
              <w:bottom w:val="single" w:sz="4" w:space="0" w:color="000000"/>
            </w:tcBorders>
            <w:vAlign w:val="bottom"/>
          </w:tcPr>
          <w:p w:rsidR="001670EC" w:rsidRPr="00680D98" w:rsidRDefault="001670EC">
            <w:pPr>
              <w:rPr>
                <w:b/>
                <w:bCs/>
                <w:color w:val="000000"/>
                <w:sz w:val="18"/>
                <w:szCs w:val="18"/>
              </w:rPr>
            </w:pPr>
          </w:p>
        </w:tc>
      </w:tr>
      <w:tr w:rsidR="001670EC" w:rsidRPr="00680D98" w:rsidTr="00622A7D">
        <w:trPr>
          <w:trHeight w:val="20"/>
        </w:trPr>
        <w:tc>
          <w:tcPr>
            <w:tcW w:w="2614" w:type="pct"/>
            <w:tcBorders>
              <w:top w:val="nil"/>
              <w:left w:val="single" w:sz="8" w:space="0" w:color="auto"/>
              <w:bottom w:val="single" w:sz="4" w:space="0" w:color="auto"/>
              <w:right w:val="single" w:sz="8" w:space="0" w:color="auto"/>
            </w:tcBorders>
            <w:shd w:val="clear" w:color="000000" w:fill="A5A5A5"/>
            <w:vAlign w:val="bottom"/>
          </w:tcPr>
          <w:p w:rsidR="001670EC" w:rsidRPr="003311B5" w:rsidRDefault="001670EC">
            <w:pPr>
              <w:rPr>
                <w:color w:val="000000"/>
              </w:rPr>
            </w:pPr>
            <w:r w:rsidRPr="00680D98">
              <w:rPr>
                <w:color w:val="000000"/>
                <w:sz w:val="18"/>
                <w:szCs w:val="18"/>
              </w:rPr>
              <w:t> </w:t>
            </w:r>
            <w:r w:rsidRPr="003311B5">
              <w:rPr>
                <w:b/>
                <w:bCs/>
                <w:color w:val="000000"/>
              </w:rPr>
              <w:t>Focus Area: Human Immunodeficiency Virus (HIV)</w:t>
            </w:r>
          </w:p>
        </w:tc>
        <w:tc>
          <w:tcPr>
            <w:tcW w:w="357" w:type="pct"/>
            <w:tcBorders>
              <w:top w:val="nil"/>
              <w:left w:val="nil"/>
              <w:bottom w:val="single" w:sz="4" w:space="0" w:color="auto"/>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One</w:t>
            </w:r>
          </w:p>
        </w:tc>
        <w:tc>
          <w:tcPr>
            <w:tcW w:w="357" w:type="pct"/>
            <w:tcBorders>
              <w:top w:val="nil"/>
              <w:left w:val="nil"/>
              <w:bottom w:val="single" w:sz="4" w:space="0" w:color="auto"/>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Two</w:t>
            </w:r>
          </w:p>
        </w:tc>
        <w:tc>
          <w:tcPr>
            <w:tcW w:w="404" w:type="pct"/>
            <w:tcBorders>
              <w:top w:val="nil"/>
              <w:left w:val="nil"/>
              <w:bottom w:val="single" w:sz="4" w:space="0" w:color="auto"/>
              <w:right w:val="single" w:sz="8"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Three</w:t>
            </w:r>
          </w:p>
        </w:tc>
        <w:tc>
          <w:tcPr>
            <w:tcW w:w="1267" w:type="pct"/>
            <w:vMerge/>
            <w:tcBorders>
              <w:top w:val="single" w:sz="8" w:space="0" w:color="auto"/>
              <w:left w:val="single" w:sz="8" w:space="0" w:color="auto"/>
              <w:bottom w:val="single" w:sz="4" w:space="0" w:color="000000"/>
            </w:tcBorders>
            <w:vAlign w:val="bottom"/>
          </w:tcPr>
          <w:p w:rsidR="001670EC" w:rsidRPr="00680D98" w:rsidRDefault="001670EC">
            <w:pPr>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vAlign w:val="bottom"/>
          </w:tcPr>
          <w:p w:rsidR="001670EC" w:rsidRPr="00680D98" w:rsidRDefault="001670EC">
            <w:pPr>
              <w:jc w:val="center"/>
              <w:rPr>
                <w:b/>
                <w:bCs/>
                <w:color w:val="000000"/>
                <w:sz w:val="18"/>
                <w:szCs w:val="18"/>
              </w:rPr>
            </w:pPr>
            <w:r w:rsidRPr="00680D98">
              <w:rPr>
                <w:b/>
                <w:bCs/>
                <w:color w:val="000000"/>
                <w:sz w:val="18"/>
                <w:szCs w:val="18"/>
              </w:rPr>
              <w:t>Prevention Agenda Indicators</w:t>
            </w:r>
          </w:p>
        </w:tc>
        <w:tc>
          <w:tcPr>
            <w:tcW w:w="2386" w:type="pct"/>
            <w:gridSpan w:val="4"/>
            <w:tcBorders>
              <w:top w:val="single" w:sz="4" w:space="0" w:color="auto"/>
              <w:left w:val="single" w:sz="8" w:space="0" w:color="auto"/>
              <w:bottom w:val="single" w:sz="4" w:space="0" w:color="auto"/>
            </w:tcBorders>
            <w:shd w:val="clear" w:color="000000" w:fill="FFFFFF"/>
            <w:vAlign w:val="bottom"/>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2"/>
        </w:trPr>
        <w:tc>
          <w:tcPr>
            <w:tcW w:w="2614" w:type="pct"/>
            <w:tcBorders>
              <w:top w:val="nil"/>
              <w:left w:val="single" w:sz="8" w:space="0" w:color="auto"/>
              <w:bottom w:val="single" w:sz="4" w:space="0" w:color="BFBFBF"/>
              <w:right w:val="nil"/>
            </w:tcBorders>
            <w:shd w:val="clear" w:color="000000" w:fill="FFFFFF"/>
            <w:vAlign w:val="bottom"/>
          </w:tcPr>
          <w:p w:rsidR="001670EC" w:rsidRPr="00680D98" w:rsidRDefault="001670EC">
            <w:pPr>
              <w:rPr>
                <w:color w:val="000000"/>
                <w:sz w:val="17"/>
                <w:szCs w:val="17"/>
              </w:rPr>
            </w:pPr>
            <w:r w:rsidRPr="00680D98">
              <w:rPr>
                <w:color w:val="000000"/>
                <w:sz w:val="17"/>
                <w:szCs w:val="17"/>
              </w:rPr>
              <w:t>1. Rate of Newly Diagnosed HIV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4</w:t>
            </w:r>
          </w:p>
        </w:tc>
        <w:tc>
          <w:tcPr>
            <w:tcW w:w="126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6.0</w:t>
            </w:r>
          </w:p>
        </w:tc>
      </w:tr>
      <w:tr w:rsidR="001670EC" w:rsidRPr="00680D98" w:rsidTr="00622A7D">
        <w:trPr>
          <w:trHeight w:val="2"/>
        </w:trPr>
        <w:tc>
          <w:tcPr>
            <w:tcW w:w="2614" w:type="pct"/>
            <w:tcBorders>
              <w:top w:val="nil"/>
              <w:left w:val="single" w:sz="8" w:space="0" w:color="auto"/>
              <w:bottom w:val="single" w:sz="4" w:space="0" w:color="auto"/>
              <w:right w:val="nil"/>
            </w:tcBorders>
            <w:vAlign w:val="bottom"/>
          </w:tcPr>
          <w:p w:rsidR="001670EC" w:rsidRPr="00680D98" w:rsidRDefault="001670EC">
            <w:pPr>
              <w:rPr>
                <w:color w:val="000000"/>
                <w:sz w:val="17"/>
                <w:szCs w:val="17"/>
              </w:rPr>
            </w:pPr>
            <w:r w:rsidRPr="00680D98">
              <w:rPr>
                <w:color w:val="000000"/>
                <w:sz w:val="17"/>
                <w:szCs w:val="17"/>
              </w:rPr>
              <w:t>2. Ratio of Newly Diagnosed HIV Cases Black, non-Hispanic versus White, non-Hispanic, '08 - 10</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auto"/>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N/A</w:t>
            </w:r>
          </w:p>
        </w:tc>
      </w:tr>
      <w:tr w:rsidR="001670EC" w:rsidRPr="00680D98" w:rsidTr="00622A7D">
        <w:trPr>
          <w:trHeight w:val="59"/>
        </w:trPr>
        <w:tc>
          <w:tcPr>
            <w:tcW w:w="5000" w:type="pct"/>
            <w:gridSpan w:val="5"/>
            <w:tcBorders>
              <w:top w:val="single" w:sz="4" w:space="0" w:color="auto"/>
              <w:left w:val="single" w:sz="8" w:space="0" w:color="auto"/>
              <w:bottom w:val="double" w:sz="6" w:space="0" w:color="auto"/>
            </w:tcBorders>
            <w:shd w:val="clear" w:color="000000" w:fill="BFBFBF"/>
            <w:vAlign w:val="bottom"/>
          </w:tcPr>
          <w:p w:rsidR="001670EC" w:rsidRPr="00680D98" w:rsidRDefault="001670EC" w:rsidP="008631EE">
            <w:pPr>
              <w:jc w:val="center"/>
              <w:rPr>
                <w:b/>
                <w:bCs/>
                <w:color w:val="000000"/>
                <w:sz w:val="18"/>
                <w:szCs w:val="18"/>
              </w:rPr>
            </w:pPr>
            <w:r w:rsidRPr="00680D98">
              <w:rPr>
                <w:b/>
                <w:bCs/>
                <w:color w:val="000000"/>
                <w:sz w:val="18"/>
                <w:szCs w:val="18"/>
              </w:rPr>
              <w:t>Quartile Summary for Prevention Agenda Indicators</w:t>
            </w: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vAlign w:val="bottom"/>
          </w:tcPr>
          <w:p w:rsidR="001670EC" w:rsidRPr="00680D98" w:rsidRDefault="001670EC" w:rsidP="008631EE">
            <w:pPr>
              <w:jc w:val="center"/>
              <w:rPr>
                <w:b/>
                <w:bCs/>
                <w:color w:val="000000"/>
                <w:sz w:val="18"/>
                <w:szCs w:val="18"/>
              </w:rPr>
            </w:pPr>
            <w:r w:rsidRPr="00680D98">
              <w:rPr>
                <w:b/>
                <w:bCs/>
                <w:color w:val="000000"/>
                <w:sz w:val="18"/>
                <w:szCs w:val="18"/>
              </w:rPr>
              <w:t>Other Indicators</w:t>
            </w:r>
          </w:p>
        </w:tc>
        <w:tc>
          <w:tcPr>
            <w:tcW w:w="2386" w:type="pct"/>
            <w:gridSpan w:val="4"/>
            <w:tcBorders>
              <w:top w:val="double" w:sz="6" w:space="0" w:color="auto"/>
              <w:left w:val="single" w:sz="8" w:space="0" w:color="auto"/>
              <w:bottom w:val="single" w:sz="4" w:space="0" w:color="auto"/>
            </w:tcBorders>
            <w:shd w:val="clear" w:color="000000" w:fill="FFFFFF"/>
            <w:vAlign w:val="bottom"/>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59"/>
        </w:trPr>
        <w:tc>
          <w:tcPr>
            <w:tcW w:w="2614" w:type="pct"/>
            <w:tcBorders>
              <w:top w:val="single" w:sz="4" w:space="0" w:color="BFBFBF"/>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 Rate of AIDS Cases per 100,000 Population, '08 - 10</w:t>
            </w:r>
          </w:p>
        </w:tc>
        <w:tc>
          <w:tcPr>
            <w:tcW w:w="357" w:type="pct"/>
            <w:tcBorders>
              <w:top w:val="single" w:sz="4" w:space="0" w:color="BFBFBF"/>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4</w:t>
            </w:r>
          </w:p>
        </w:tc>
        <w:tc>
          <w:tcPr>
            <w:tcW w:w="357" w:type="pct"/>
            <w:tcBorders>
              <w:top w:val="single" w:sz="4" w:space="0" w:color="BFBFBF"/>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w:t>
            </w:r>
          </w:p>
        </w:tc>
        <w:tc>
          <w:tcPr>
            <w:tcW w:w="404" w:type="pct"/>
            <w:tcBorders>
              <w:top w:val="single" w:sz="4" w:space="0" w:color="BFBFBF"/>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2.2</w:t>
            </w:r>
          </w:p>
        </w:tc>
      </w:tr>
      <w:tr w:rsidR="001670EC" w:rsidRPr="00680D98" w:rsidTr="00622A7D">
        <w:trPr>
          <w:trHeight w:val="59"/>
        </w:trPr>
        <w:tc>
          <w:tcPr>
            <w:tcW w:w="2614" w:type="pct"/>
            <w:tcBorders>
              <w:top w:val="nil"/>
              <w:left w:val="single" w:sz="8" w:space="0" w:color="auto"/>
              <w:right w:val="nil"/>
            </w:tcBorders>
            <w:vAlign w:val="bottom"/>
          </w:tcPr>
          <w:p w:rsidR="001670EC" w:rsidRPr="00680D98" w:rsidRDefault="001670EC">
            <w:pPr>
              <w:rPr>
                <w:color w:val="000000"/>
                <w:sz w:val="17"/>
                <w:szCs w:val="17"/>
              </w:rPr>
            </w:pPr>
            <w:r w:rsidRPr="00680D98">
              <w:rPr>
                <w:color w:val="000000"/>
                <w:sz w:val="17"/>
                <w:szCs w:val="17"/>
              </w:rPr>
              <w:t>2. Rate of AIDS Deaths per 100,000 Adjusted Population, '08 - 10</w:t>
            </w:r>
          </w:p>
        </w:tc>
        <w:tc>
          <w:tcPr>
            <w:tcW w:w="357" w:type="pct"/>
            <w:tcBorders>
              <w:top w:val="nil"/>
              <w:left w:val="single" w:sz="8"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single" w:sz="4" w:space="0" w:color="BFBFBF"/>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59"/>
        </w:trPr>
        <w:tc>
          <w:tcPr>
            <w:tcW w:w="5000" w:type="pct"/>
            <w:gridSpan w:val="5"/>
            <w:tcBorders>
              <w:top w:val="nil"/>
              <w:left w:val="single" w:sz="8" w:space="0" w:color="auto"/>
            </w:tcBorders>
            <w:shd w:val="clear" w:color="000000" w:fill="BFBFBF"/>
            <w:vAlign w:val="bottom"/>
          </w:tcPr>
          <w:p w:rsidR="001670EC" w:rsidRPr="00680D98" w:rsidRDefault="001670EC">
            <w:pPr>
              <w:jc w:val="center"/>
              <w:rPr>
                <w:b/>
                <w:bCs/>
                <w:color w:val="000000"/>
                <w:sz w:val="18"/>
                <w:szCs w:val="18"/>
              </w:rPr>
            </w:pPr>
            <w:r w:rsidRPr="00680D98">
              <w:rPr>
                <w:b/>
                <w:bCs/>
                <w:color w:val="000000"/>
                <w:sz w:val="18"/>
                <w:szCs w:val="18"/>
              </w:rPr>
              <w:t>Quartile Summary for Other Indicators</w:t>
            </w:r>
          </w:p>
        </w:tc>
      </w:tr>
      <w:tr w:rsidR="001670EC" w:rsidRPr="00680D98" w:rsidTr="00622A7D">
        <w:trPr>
          <w:trHeight w:val="2"/>
        </w:trPr>
        <w:tc>
          <w:tcPr>
            <w:tcW w:w="5000" w:type="pct"/>
            <w:gridSpan w:val="5"/>
            <w:tcBorders>
              <w:left w:val="single" w:sz="8" w:space="0" w:color="auto"/>
              <w:bottom w:val="single" w:sz="4" w:space="0" w:color="auto"/>
              <w:right w:val="single" w:sz="4" w:space="0" w:color="auto"/>
            </w:tcBorders>
            <w:shd w:val="clear" w:color="000000" w:fill="A5A5A5"/>
            <w:vAlign w:val="bottom"/>
          </w:tcPr>
          <w:p w:rsidR="001670EC" w:rsidRPr="00680D98" w:rsidRDefault="001670EC" w:rsidP="00210178">
            <w:pPr>
              <w:jc w:val="center"/>
              <w:rPr>
                <w:b/>
                <w:bCs/>
                <w:color w:val="000000"/>
                <w:sz w:val="18"/>
                <w:szCs w:val="18"/>
              </w:rPr>
            </w:pPr>
            <w:r w:rsidRPr="00680D98">
              <w:rPr>
                <w:b/>
                <w:bCs/>
                <w:color w:val="000000"/>
                <w:sz w:val="18"/>
                <w:szCs w:val="18"/>
              </w:rPr>
              <w:t>Quartile Summary for Focus Area Human Immunodeficiency Virus (HIV)</w:t>
            </w:r>
          </w:p>
        </w:tc>
      </w:tr>
      <w:tr w:rsidR="001670EC" w:rsidRPr="00680D98" w:rsidTr="00622A7D">
        <w:trPr>
          <w:trHeight w:val="2"/>
        </w:trPr>
        <w:tc>
          <w:tcPr>
            <w:tcW w:w="2614" w:type="pct"/>
            <w:vMerge w:val="restart"/>
            <w:tcBorders>
              <w:top w:val="single" w:sz="4" w:space="0" w:color="auto"/>
              <w:left w:val="single" w:sz="8" w:space="0" w:color="auto"/>
              <w:right w:val="single" w:sz="8" w:space="0" w:color="auto"/>
            </w:tcBorders>
            <w:shd w:val="clear" w:color="000000" w:fill="A5A5A5"/>
            <w:vAlign w:val="bottom"/>
          </w:tcPr>
          <w:p w:rsidR="001670EC" w:rsidRPr="00680D98" w:rsidRDefault="001670EC">
            <w:pPr>
              <w:rPr>
                <w:color w:val="000000"/>
                <w:sz w:val="18"/>
                <w:szCs w:val="18"/>
              </w:rPr>
            </w:pPr>
            <w:r w:rsidRPr="00680D98">
              <w:rPr>
                <w:color w:val="000000"/>
                <w:sz w:val="18"/>
                <w:szCs w:val="18"/>
              </w:rPr>
              <w:t> </w:t>
            </w:r>
          </w:p>
          <w:p w:rsidR="001670EC" w:rsidRPr="00680D98" w:rsidRDefault="001670EC" w:rsidP="00D54846">
            <w:pPr>
              <w:rPr>
                <w:b/>
                <w:bCs/>
                <w:color w:val="000000"/>
                <w:sz w:val="18"/>
                <w:szCs w:val="18"/>
              </w:rPr>
            </w:pPr>
            <w:r w:rsidRPr="00680D98">
              <w:rPr>
                <w:b/>
                <w:bCs/>
                <w:color w:val="000000"/>
                <w:sz w:val="18"/>
                <w:szCs w:val="18"/>
              </w:rPr>
              <w:t> </w:t>
            </w:r>
          </w:p>
          <w:p w:rsidR="001670EC" w:rsidRPr="00680D98" w:rsidRDefault="001670EC" w:rsidP="00851356">
            <w:pPr>
              <w:rPr>
                <w:color w:val="000000"/>
                <w:sz w:val="18"/>
                <w:szCs w:val="18"/>
              </w:rPr>
            </w:pPr>
            <w:r w:rsidRPr="003311B5">
              <w:rPr>
                <w:b/>
                <w:bCs/>
                <w:color w:val="000000"/>
              </w:rPr>
              <w:t>Focus Area: Sexually Transmitted Disease (STDs)</w:t>
            </w:r>
          </w:p>
        </w:tc>
        <w:tc>
          <w:tcPr>
            <w:tcW w:w="1118" w:type="pct"/>
            <w:gridSpan w:val="3"/>
            <w:tcBorders>
              <w:top w:val="single" w:sz="4" w:space="0" w:color="auto"/>
              <w:left w:val="nil"/>
              <w:bottom w:val="nil"/>
              <w:right w:val="single" w:sz="8" w:space="0" w:color="auto"/>
            </w:tcBorders>
            <w:shd w:val="clear" w:color="000000" w:fill="A5A5A5"/>
            <w:vAlign w:val="bottom"/>
          </w:tcPr>
          <w:p w:rsidR="001670EC" w:rsidRPr="00680D98" w:rsidRDefault="001670EC" w:rsidP="00554AF1">
            <w:pPr>
              <w:rPr>
                <w:b/>
                <w:bCs/>
                <w:color w:val="000000"/>
                <w:sz w:val="18"/>
                <w:szCs w:val="18"/>
              </w:rPr>
            </w:pPr>
          </w:p>
        </w:tc>
        <w:tc>
          <w:tcPr>
            <w:tcW w:w="1267" w:type="pct"/>
            <w:vMerge w:val="restart"/>
            <w:tcBorders>
              <w:left w:val="single" w:sz="8" w:space="0" w:color="auto"/>
              <w:bottom w:val="single" w:sz="4" w:space="0" w:color="auto"/>
              <w:right w:val="single" w:sz="4" w:space="0" w:color="auto"/>
            </w:tcBorders>
            <w:shd w:val="clear" w:color="000000" w:fill="A5A5A5"/>
            <w:vAlign w:val="bottom"/>
          </w:tcPr>
          <w:p w:rsidR="001670EC" w:rsidRPr="00680D98" w:rsidRDefault="001670EC" w:rsidP="00554AF1">
            <w:pPr>
              <w:jc w:val="center"/>
              <w:rPr>
                <w:b/>
                <w:bCs/>
                <w:color w:val="000000"/>
                <w:sz w:val="18"/>
                <w:szCs w:val="18"/>
              </w:rPr>
            </w:pPr>
            <w:r w:rsidRPr="00680D98">
              <w:rPr>
                <w:b/>
                <w:bCs/>
                <w:color w:val="000000"/>
                <w:sz w:val="18"/>
                <w:szCs w:val="18"/>
              </w:rPr>
              <w:t>Average Rate, Ratio or Percentage for the Listed Years</w:t>
            </w:r>
          </w:p>
        </w:tc>
      </w:tr>
      <w:tr w:rsidR="001670EC" w:rsidRPr="00680D98" w:rsidTr="00622A7D">
        <w:trPr>
          <w:trHeight w:val="2"/>
        </w:trPr>
        <w:tc>
          <w:tcPr>
            <w:tcW w:w="2614" w:type="pct"/>
            <w:vMerge/>
            <w:tcBorders>
              <w:left w:val="single" w:sz="8" w:space="0" w:color="auto"/>
              <w:right w:val="single" w:sz="8" w:space="0" w:color="auto"/>
            </w:tcBorders>
            <w:shd w:val="clear" w:color="000000" w:fill="A5A5A5"/>
            <w:vAlign w:val="bottom"/>
          </w:tcPr>
          <w:p w:rsidR="001670EC" w:rsidRPr="00680D98" w:rsidRDefault="001670EC" w:rsidP="00851356">
            <w:pPr>
              <w:rPr>
                <w:b/>
                <w:bCs/>
                <w:color w:val="000000"/>
                <w:sz w:val="18"/>
                <w:szCs w:val="18"/>
              </w:rPr>
            </w:pPr>
          </w:p>
        </w:tc>
        <w:tc>
          <w:tcPr>
            <w:tcW w:w="1118" w:type="pct"/>
            <w:gridSpan w:val="3"/>
            <w:tcBorders>
              <w:top w:val="nil"/>
              <w:left w:val="nil"/>
              <w:bottom w:val="single" w:sz="4" w:space="0" w:color="auto"/>
              <w:right w:val="single" w:sz="8" w:space="0" w:color="auto"/>
            </w:tcBorders>
            <w:shd w:val="clear" w:color="000000" w:fill="A5A5A5"/>
            <w:vAlign w:val="bottom"/>
          </w:tcPr>
          <w:p w:rsidR="001670EC" w:rsidRPr="00680D98" w:rsidRDefault="001670EC" w:rsidP="00210178">
            <w:pPr>
              <w:jc w:val="center"/>
              <w:rPr>
                <w:b/>
                <w:bCs/>
                <w:color w:val="000000"/>
                <w:sz w:val="18"/>
                <w:szCs w:val="18"/>
              </w:rPr>
            </w:pPr>
            <w:r w:rsidRPr="00680D98">
              <w:rPr>
                <w:b/>
                <w:bCs/>
                <w:color w:val="000000"/>
                <w:sz w:val="18"/>
                <w:szCs w:val="18"/>
              </w:rPr>
              <w:t>Number Per Year (If Available)</w:t>
            </w:r>
          </w:p>
        </w:tc>
        <w:tc>
          <w:tcPr>
            <w:tcW w:w="1267" w:type="pct"/>
            <w:vMerge/>
            <w:tcBorders>
              <w:top w:val="single" w:sz="8" w:space="0" w:color="auto"/>
              <w:left w:val="single" w:sz="8" w:space="0" w:color="auto"/>
              <w:bottom w:val="single" w:sz="4" w:space="0" w:color="auto"/>
              <w:right w:val="single" w:sz="4" w:space="0" w:color="auto"/>
            </w:tcBorders>
            <w:vAlign w:val="bottom"/>
          </w:tcPr>
          <w:p w:rsidR="001670EC" w:rsidRPr="00680D98" w:rsidRDefault="001670EC">
            <w:pPr>
              <w:rPr>
                <w:b/>
                <w:bCs/>
                <w:color w:val="000000"/>
                <w:sz w:val="18"/>
                <w:szCs w:val="18"/>
              </w:rPr>
            </w:pPr>
          </w:p>
        </w:tc>
      </w:tr>
      <w:tr w:rsidR="001670EC" w:rsidRPr="00680D98" w:rsidTr="00622A7D">
        <w:trPr>
          <w:trHeight w:val="183"/>
        </w:trPr>
        <w:tc>
          <w:tcPr>
            <w:tcW w:w="2614" w:type="pct"/>
            <w:vMerge/>
            <w:tcBorders>
              <w:left w:val="single" w:sz="8" w:space="0" w:color="auto"/>
              <w:right w:val="single" w:sz="8" w:space="0" w:color="auto"/>
            </w:tcBorders>
            <w:shd w:val="clear" w:color="000000" w:fill="A5A5A5"/>
            <w:vAlign w:val="bottom"/>
          </w:tcPr>
          <w:p w:rsidR="001670EC" w:rsidRPr="003311B5" w:rsidRDefault="001670EC">
            <w:pPr>
              <w:rPr>
                <w:color w:val="000000"/>
              </w:rPr>
            </w:pPr>
          </w:p>
        </w:tc>
        <w:tc>
          <w:tcPr>
            <w:tcW w:w="357" w:type="pct"/>
            <w:tcBorders>
              <w:top w:val="nil"/>
              <w:left w:val="nil"/>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One</w:t>
            </w:r>
          </w:p>
        </w:tc>
        <w:tc>
          <w:tcPr>
            <w:tcW w:w="357" w:type="pct"/>
            <w:tcBorders>
              <w:top w:val="nil"/>
              <w:left w:val="nil"/>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Two</w:t>
            </w:r>
          </w:p>
        </w:tc>
        <w:tc>
          <w:tcPr>
            <w:tcW w:w="404" w:type="pct"/>
            <w:tcBorders>
              <w:top w:val="nil"/>
              <w:left w:val="nil"/>
              <w:right w:val="single" w:sz="8"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Three</w:t>
            </w:r>
          </w:p>
        </w:tc>
        <w:tc>
          <w:tcPr>
            <w:tcW w:w="1267" w:type="pct"/>
            <w:vMerge/>
            <w:tcBorders>
              <w:top w:val="single" w:sz="8" w:space="0" w:color="auto"/>
              <w:left w:val="single" w:sz="8" w:space="0" w:color="auto"/>
              <w:right w:val="single" w:sz="4" w:space="0" w:color="auto"/>
            </w:tcBorders>
            <w:vAlign w:val="bottom"/>
          </w:tcPr>
          <w:p w:rsidR="001670EC" w:rsidRPr="00680D98" w:rsidRDefault="001670EC">
            <w:pPr>
              <w:rPr>
                <w:b/>
                <w:bCs/>
                <w:color w:val="000000"/>
                <w:sz w:val="18"/>
                <w:szCs w:val="18"/>
              </w:rPr>
            </w:pPr>
          </w:p>
        </w:tc>
      </w:tr>
      <w:tr w:rsidR="001670EC" w:rsidRPr="00680D98" w:rsidTr="00622A7D">
        <w:trPr>
          <w:trHeight w:val="188"/>
        </w:trPr>
        <w:tc>
          <w:tcPr>
            <w:tcW w:w="2614" w:type="pct"/>
            <w:tcBorders>
              <w:top w:val="nil"/>
              <w:left w:val="single" w:sz="8" w:space="0" w:color="auto"/>
              <w:bottom w:val="single" w:sz="4" w:space="0" w:color="auto"/>
              <w:right w:val="nil"/>
            </w:tcBorders>
            <w:shd w:val="clear" w:color="000000" w:fill="FFFFFF"/>
            <w:vAlign w:val="bottom"/>
          </w:tcPr>
          <w:p w:rsidR="001670EC" w:rsidRPr="00680D98" w:rsidRDefault="001670EC">
            <w:pPr>
              <w:jc w:val="center"/>
              <w:rPr>
                <w:b/>
                <w:bCs/>
                <w:color w:val="000000"/>
                <w:sz w:val="18"/>
                <w:szCs w:val="18"/>
              </w:rPr>
            </w:pPr>
            <w:r w:rsidRPr="00680D98">
              <w:rPr>
                <w:b/>
                <w:bCs/>
                <w:color w:val="000000"/>
                <w:sz w:val="18"/>
                <w:szCs w:val="18"/>
              </w:rPr>
              <w:t>Prevention Agenda Indicators</w:t>
            </w:r>
          </w:p>
        </w:tc>
        <w:tc>
          <w:tcPr>
            <w:tcW w:w="2386" w:type="pct"/>
            <w:gridSpan w:val="4"/>
            <w:tcBorders>
              <w:left w:val="single" w:sz="8" w:space="0" w:color="auto"/>
              <w:bottom w:val="single" w:sz="4" w:space="0" w:color="auto"/>
              <w:right w:val="single" w:sz="4" w:space="0" w:color="auto"/>
            </w:tcBorders>
            <w:shd w:val="clear" w:color="000000" w:fill="FFFFFF"/>
            <w:vAlign w:val="bottom"/>
          </w:tcPr>
          <w:p w:rsidR="001670EC" w:rsidRPr="00680D98" w:rsidRDefault="001670EC">
            <w:pPr>
              <w:rPr>
                <w:color w:val="000000"/>
                <w:sz w:val="18"/>
                <w:szCs w:val="18"/>
              </w:rPr>
            </w:pP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 Rate of Primary and Secondary Syphilis for Males per 100,000 Male Population, 2010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2. Rate of Primary and Secondary Syphilis for Females per 100,000 Female Population, 2010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3. Rate of Gonorrhea Cases for Females Ages 15-44 per 100,000 Female Population Ages 15-44, 2010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60.1</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4. Rate of Gonorrhea Cases for Males Ages 15 - 44 per 100,000 Male Population Ages 15-44, 2010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19.2</w:t>
            </w:r>
          </w:p>
        </w:tc>
      </w:tr>
      <w:tr w:rsidR="001670EC" w:rsidRPr="00680D98" w:rsidTr="00622A7D">
        <w:trPr>
          <w:trHeight w:val="2"/>
        </w:trPr>
        <w:tc>
          <w:tcPr>
            <w:tcW w:w="2614" w:type="pct"/>
            <w:tcBorders>
              <w:top w:val="nil"/>
              <w:left w:val="single" w:sz="8" w:space="0" w:color="auto"/>
              <w:right w:val="nil"/>
            </w:tcBorders>
            <w:vAlign w:val="bottom"/>
          </w:tcPr>
          <w:p w:rsidR="001670EC" w:rsidRPr="00680D98" w:rsidRDefault="001670EC">
            <w:pPr>
              <w:rPr>
                <w:color w:val="000000"/>
                <w:sz w:val="17"/>
                <w:szCs w:val="17"/>
              </w:rPr>
            </w:pPr>
            <w:r w:rsidRPr="00680D98">
              <w:rPr>
                <w:color w:val="000000"/>
                <w:sz w:val="17"/>
                <w:szCs w:val="17"/>
              </w:rPr>
              <w:t>5. Rate of Chlamydia for Females Ages 15 - 44 per 100,000 Female Population Ages 15 - 44, '08 - 10</w:t>
            </w:r>
          </w:p>
        </w:tc>
        <w:tc>
          <w:tcPr>
            <w:tcW w:w="357" w:type="pct"/>
            <w:tcBorders>
              <w:top w:val="nil"/>
              <w:left w:val="single" w:sz="8" w:space="0" w:color="auto"/>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931.8</w:t>
            </w:r>
          </w:p>
        </w:tc>
      </w:tr>
      <w:tr w:rsidR="001670EC" w:rsidRPr="00680D98" w:rsidTr="00622A7D">
        <w:trPr>
          <w:trHeight w:val="188"/>
        </w:trPr>
        <w:tc>
          <w:tcPr>
            <w:tcW w:w="5000" w:type="pct"/>
            <w:gridSpan w:val="5"/>
            <w:tcBorders>
              <w:left w:val="single" w:sz="8" w:space="0" w:color="auto"/>
              <w:bottom w:val="single" w:sz="4" w:space="0" w:color="auto"/>
              <w:right w:val="single" w:sz="4" w:space="0" w:color="auto"/>
            </w:tcBorders>
            <w:shd w:val="clear" w:color="000000" w:fill="BFBFBF"/>
            <w:vAlign w:val="bottom"/>
          </w:tcPr>
          <w:p w:rsidR="001670EC" w:rsidRPr="00680D98" w:rsidRDefault="001670EC">
            <w:pPr>
              <w:jc w:val="center"/>
              <w:rPr>
                <w:b/>
                <w:bCs/>
                <w:color w:val="000000"/>
                <w:sz w:val="18"/>
                <w:szCs w:val="18"/>
              </w:rPr>
            </w:pPr>
            <w:r w:rsidRPr="00680D98">
              <w:rPr>
                <w:b/>
                <w:bCs/>
                <w:color w:val="000000"/>
                <w:sz w:val="18"/>
                <w:szCs w:val="18"/>
              </w:rPr>
              <w:t>Quartile Summary for Prevention Agenda Indicators</w:t>
            </w:r>
          </w:p>
        </w:tc>
      </w:tr>
      <w:tr w:rsidR="001670EC" w:rsidRPr="00680D98" w:rsidTr="00622A7D">
        <w:trPr>
          <w:trHeight w:val="183"/>
        </w:trPr>
        <w:tc>
          <w:tcPr>
            <w:tcW w:w="2614" w:type="pct"/>
            <w:tcBorders>
              <w:top w:val="nil"/>
              <w:left w:val="single" w:sz="8" w:space="0" w:color="auto"/>
              <w:bottom w:val="single" w:sz="4" w:space="0" w:color="auto"/>
              <w:right w:val="nil"/>
            </w:tcBorders>
            <w:shd w:val="clear" w:color="000000" w:fill="FFFFFF"/>
            <w:vAlign w:val="bottom"/>
          </w:tcPr>
          <w:p w:rsidR="001670EC" w:rsidRPr="00680D98" w:rsidRDefault="001670EC">
            <w:pPr>
              <w:jc w:val="center"/>
              <w:rPr>
                <w:b/>
                <w:bCs/>
                <w:color w:val="000000"/>
                <w:sz w:val="18"/>
                <w:szCs w:val="18"/>
              </w:rPr>
            </w:pPr>
            <w:r w:rsidRPr="00680D98">
              <w:rPr>
                <w:b/>
                <w:bCs/>
                <w:color w:val="000000"/>
                <w:sz w:val="18"/>
                <w:szCs w:val="18"/>
              </w:rPr>
              <w:t>Other Indicators</w:t>
            </w:r>
          </w:p>
        </w:tc>
        <w:tc>
          <w:tcPr>
            <w:tcW w:w="2386" w:type="pct"/>
            <w:gridSpan w:val="4"/>
            <w:tcBorders>
              <w:top w:val="nil"/>
              <w:left w:val="single" w:sz="8" w:space="0" w:color="auto"/>
              <w:bottom w:val="single" w:sz="4" w:space="0" w:color="auto"/>
              <w:right w:val="single" w:sz="4" w:space="0" w:color="auto"/>
            </w:tcBorders>
            <w:shd w:val="clear" w:color="000000" w:fill="FFFFFF"/>
            <w:vAlign w:val="bottom"/>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188"/>
        </w:trPr>
        <w:tc>
          <w:tcPr>
            <w:tcW w:w="2614" w:type="pct"/>
            <w:tcBorders>
              <w:top w:val="nil"/>
              <w:left w:val="single" w:sz="8" w:space="0" w:color="auto"/>
              <w:bottom w:val="single" w:sz="4" w:space="0" w:color="BFBFBF"/>
              <w:right w:val="nil"/>
            </w:tcBorders>
            <w:vAlign w:val="bottom"/>
          </w:tcPr>
          <w:p w:rsidR="001670EC" w:rsidRPr="00680D98" w:rsidRDefault="001670EC" w:rsidP="00474864">
            <w:pPr>
              <w:rPr>
                <w:color w:val="000000"/>
                <w:sz w:val="17"/>
                <w:szCs w:val="17"/>
              </w:rPr>
            </w:pPr>
            <w:r w:rsidRPr="00680D98">
              <w:rPr>
                <w:color w:val="000000"/>
                <w:sz w:val="17"/>
                <w:szCs w:val="17"/>
              </w:rPr>
              <w:t>1. Rate of Early Syphilis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rsidP="00474864">
            <w:pPr>
              <w:jc w:val="right"/>
              <w:rPr>
                <w:color w:val="000000"/>
                <w:sz w:val="18"/>
                <w:szCs w:val="18"/>
              </w:rPr>
            </w:pPr>
            <w:r w:rsidRPr="00680D98">
              <w:rPr>
                <w:color w:val="000000"/>
                <w:sz w:val="18"/>
                <w:szCs w:val="18"/>
              </w:rPr>
              <w:t>2</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rsidP="00474864">
            <w:pPr>
              <w:jc w:val="right"/>
              <w:rPr>
                <w:color w:val="000000"/>
                <w:sz w:val="18"/>
                <w:szCs w:val="18"/>
              </w:rPr>
            </w:pPr>
            <w:r w:rsidRPr="00680D98">
              <w:rPr>
                <w:color w:val="000000"/>
                <w:sz w:val="18"/>
                <w:szCs w:val="18"/>
              </w:rPr>
              <w:t>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rsidP="00474864">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rsidP="00474864">
            <w:pPr>
              <w:jc w:val="right"/>
              <w:rPr>
                <w:color w:val="000000"/>
                <w:sz w:val="18"/>
                <w:szCs w:val="18"/>
              </w:rPr>
            </w:pPr>
            <w:r w:rsidRPr="00680D98">
              <w:rPr>
                <w:color w:val="000000"/>
                <w:sz w:val="18"/>
                <w:szCs w:val="18"/>
              </w:rPr>
              <w:t>1.8</w:t>
            </w:r>
          </w:p>
        </w:tc>
      </w:tr>
      <w:tr w:rsidR="001670EC" w:rsidRPr="00680D98" w:rsidTr="00622A7D">
        <w:trPr>
          <w:trHeight w:val="183"/>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2. Rate of Gonorrhea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29</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9</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35.0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3. Rate of Gonorrhea Ages 15 - 19 Cases per 100,000 Population Ages 15-19,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4</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3</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106.2</w:t>
            </w:r>
          </w:p>
        </w:tc>
      </w:tr>
      <w:tr w:rsidR="001670EC" w:rsidRPr="00680D98" w:rsidTr="00622A7D">
        <w:trPr>
          <w:trHeight w:val="2"/>
        </w:trPr>
        <w:tc>
          <w:tcPr>
            <w:tcW w:w="2614" w:type="pct"/>
            <w:tcBorders>
              <w:top w:val="nil"/>
              <w:left w:val="single" w:sz="8" w:space="0" w:color="auto"/>
              <w:bottom w:val="single" w:sz="4" w:space="0" w:color="D8D8D8"/>
              <w:right w:val="nil"/>
            </w:tcBorders>
            <w:vAlign w:val="bottom"/>
          </w:tcPr>
          <w:p w:rsidR="001670EC" w:rsidRPr="00680D98" w:rsidRDefault="001670EC">
            <w:pPr>
              <w:rPr>
                <w:color w:val="000000"/>
                <w:sz w:val="17"/>
                <w:szCs w:val="17"/>
              </w:rPr>
            </w:pPr>
            <w:r w:rsidRPr="00680D98">
              <w:rPr>
                <w:color w:val="000000"/>
                <w:sz w:val="17"/>
                <w:szCs w:val="17"/>
              </w:rPr>
              <w:t>4. Rate of Chlamydia Cases All Males per 100,000 Male Population, '08 - 10</w:t>
            </w:r>
          </w:p>
        </w:tc>
        <w:tc>
          <w:tcPr>
            <w:tcW w:w="357" w:type="pct"/>
            <w:tcBorders>
              <w:top w:val="nil"/>
              <w:left w:val="single" w:sz="8" w:space="0" w:color="auto"/>
              <w:bottom w:val="single" w:sz="4" w:space="0" w:color="D8D8D8"/>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16</w:t>
            </w:r>
          </w:p>
        </w:tc>
        <w:tc>
          <w:tcPr>
            <w:tcW w:w="357" w:type="pct"/>
            <w:tcBorders>
              <w:top w:val="nil"/>
              <w:left w:val="nil"/>
              <w:bottom w:val="single" w:sz="4" w:space="0" w:color="D8D8D8"/>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16</w:t>
            </w:r>
          </w:p>
        </w:tc>
        <w:tc>
          <w:tcPr>
            <w:tcW w:w="404" w:type="pct"/>
            <w:tcBorders>
              <w:top w:val="nil"/>
              <w:left w:val="nil"/>
              <w:bottom w:val="single" w:sz="4" w:space="0" w:color="D8D8D8"/>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28</w:t>
            </w:r>
          </w:p>
        </w:tc>
        <w:tc>
          <w:tcPr>
            <w:tcW w:w="1267" w:type="pct"/>
            <w:tcBorders>
              <w:top w:val="nil"/>
              <w:left w:val="nil"/>
              <w:bottom w:val="single" w:sz="4" w:space="0" w:color="D8D8D8"/>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73.3</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5. Rate of Chlamydia Cases Males Ages 15 - 19 Cases per 100,000 Male Population Ages 15-19,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270.9</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6. Rate of Chlamydia Cases Males Ages 20 - 24 per 100,000 Male Population Ages 20-24,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7</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14</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527.5</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7. Rate of Chlamydia Cases All Females per 100,000 Female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81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115</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95</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347.5</w:t>
            </w:r>
          </w:p>
        </w:tc>
      </w:tr>
      <w:tr w:rsidR="001670EC" w:rsidRPr="00680D98" w:rsidTr="00622A7D">
        <w:trPr>
          <w:trHeight w:val="2"/>
        </w:trPr>
        <w:tc>
          <w:tcPr>
            <w:tcW w:w="2614" w:type="pct"/>
            <w:tcBorders>
              <w:top w:val="nil"/>
              <w:left w:val="single" w:sz="8" w:space="0" w:color="auto"/>
              <w:bottom w:val="single" w:sz="4" w:space="0" w:color="auto"/>
              <w:right w:val="nil"/>
            </w:tcBorders>
            <w:vAlign w:val="bottom"/>
          </w:tcPr>
          <w:p w:rsidR="001670EC" w:rsidRPr="00680D98" w:rsidRDefault="001670EC">
            <w:pPr>
              <w:rPr>
                <w:color w:val="000000"/>
                <w:sz w:val="17"/>
                <w:szCs w:val="17"/>
              </w:rPr>
            </w:pPr>
            <w:r w:rsidRPr="00680D98">
              <w:rPr>
                <w:color w:val="000000"/>
                <w:sz w:val="17"/>
                <w:szCs w:val="17"/>
              </w:rPr>
              <w:t>8. Rate of Chlamydia Cases Females Ages 15- 19 per 100,000 Female Population Ages 15 - 19, '08 - 10</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42</w:t>
            </w:r>
          </w:p>
        </w:tc>
        <w:tc>
          <w:tcPr>
            <w:tcW w:w="35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53</w:t>
            </w:r>
          </w:p>
        </w:tc>
        <w:tc>
          <w:tcPr>
            <w:tcW w:w="404" w:type="pct"/>
            <w:tcBorders>
              <w:top w:val="nil"/>
              <w:left w:val="nil"/>
              <w:bottom w:val="single" w:sz="4" w:space="0" w:color="auto"/>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41</w:t>
            </w:r>
          </w:p>
        </w:tc>
        <w:tc>
          <w:tcPr>
            <w:tcW w:w="126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2,521.3</w:t>
            </w:r>
          </w:p>
        </w:tc>
      </w:tr>
      <w:tr w:rsidR="001670EC" w:rsidRPr="00680D98" w:rsidTr="00622A7D">
        <w:trPr>
          <w:trHeight w:val="2"/>
        </w:trPr>
        <w:tc>
          <w:tcPr>
            <w:tcW w:w="2614" w:type="pct"/>
            <w:tcBorders>
              <w:top w:val="single" w:sz="4" w:space="0" w:color="auto"/>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9. Rate of Chlamydia Cases Females Ages 20 - 24 per 100,000 Female Population Ages 20-24, '08 - 10</w:t>
            </w:r>
          </w:p>
        </w:tc>
        <w:tc>
          <w:tcPr>
            <w:tcW w:w="357" w:type="pct"/>
            <w:tcBorders>
              <w:top w:val="single" w:sz="4" w:space="0" w:color="auto"/>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p>
          <w:p w:rsidR="001670EC" w:rsidRPr="00680D98" w:rsidRDefault="001670EC">
            <w:pPr>
              <w:jc w:val="right"/>
              <w:rPr>
                <w:color w:val="000000"/>
                <w:sz w:val="18"/>
                <w:szCs w:val="18"/>
              </w:rPr>
            </w:pPr>
            <w:r w:rsidRPr="00680D98">
              <w:rPr>
                <w:color w:val="000000"/>
                <w:sz w:val="18"/>
                <w:szCs w:val="18"/>
              </w:rPr>
              <w:t>26</w:t>
            </w:r>
          </w:p>
        </w:tc>
        <w:tc>
          <w:tcPr>
            <w:tcW w:w="357" w:type="pct"/>
            <w:tcBorders>
              <w:top w:val="single" w:sz="4" w:space="0" w:color="auto"/>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p>
          <w:p w:rsidR="001670EC" w:rsidRPr="00680D98" w:rsidRDefault="001670EC">
            <w:pPr>
              <w:jc w:val="right"/>
              <w:rPr>
                <w:color w:val="000000"/>
                <w:sz w:val="18"/>
                <w:szCs w:val="18"/>
              </w:rPr>
            </w:pPr>
            <w:r w:rsidRPr="00680D98">
              <w:rPr>
                <w:color w:val="000000"/>
                <w:sz w:val="18"/>
                <w:szCs w:val="18"/>
              </w:rPr>
              <w:t>39</w:t>
            </w:r>
          </w:p>
        </w:tc>
        <w:tc>
          <w:tcPr>
            <w:tcW w:w="404" w:type="pct"/>
            <w:tcBorders>
              <w:top w:val="single" w:sz="4" w:space="0" w:color="auto"/>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p>
          <w:p w:rsidR="001670EC" w:rsidRPr="00680D98" w:rsidRDefault="001670EC">
            <w:pPr>
              <w:jc w:val="right"/>
              <w:rPr>
                <w:color w:val="000000"/>
                <w:sz w:val="18"/>
                <w:szCs w:val="18"/>
              </w:rPr>
            </w:pPr>
            <w:r w:rsidRPr="00680D98">
              <w:rPr>
                <w:color w:val="000000"/>
                <w:sz w:val="18"/>
                <w:szCs w:val="18"/>
              </w:rPr>
              <w:t>40</w:t>
            </w:r>
          </w:p>
        </w:tc>
        <w:tc>
          <w:tcPr>
            <w:tcW w:w="1267" w:type="pct"/>
            <w:tcBorders>
              <w:top w:val="single" w:sz="4" w:space="0" w:color="auto"/>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p>
          <w:p w:rsidR="001670EC" w:rsidRPr="00680D98" w:rsidRDefault="001670EC">
            <w:pPr>
              <w:jc w:val="right"/>
              <w:rPr>
                <w:color w:val="000000"/>
                <w:sz w:val="18"/>
                <w:szCs w:val="18"/>
              </w:rPr>
            </w:pPr>
            <w:r w:rsidRPr="00680D98">
              <w:rPr>
                <w:color w:val="000000"/>
                <w:sz w:val="18"/>
                <w:szCs w:val="18"/>
              </w:rPr>
              <w:t>2,130.2</w:t>
            </w:r>
          </w:p>
        </w:tc>
      </w:tr>
      <w:tr w:rsidR="001670EC" w:rsidRPr="00680D98" w:rsidTr="00622A7D">
        <w:trPr>
          <w:trHeight w:val="2"/>
        </w:trPr>
        <w:tc>
          <w:tcPr>
            <w:tcW w:w="2614" w:type="pct"/>
            <w:tcBorders>
              <w:top w:val="nil"/>
              <w:left w:val="single" w:sz="8" w:space="0" w:color="auto"/>
              <w:bottom w:val="single" w:sz="4" w:space="0" w:color="auto"/>
              <w:right w:val="nil"/>
            </w:tcBorders>
            <w:vAlign w:val="bottom"/>
          </w:tcPr>
          <w:p w:rsidR="001670EC" w:rsidRPr="00680D98" w:rsidRDefault="001670EC">
            <w:pPr>
              <w:rPr>
                <w:color w:val="000000"/>
                <w:sz w:val="17"/>
                <w:szCs w:val="17"/>
              </w:rPr>
            </w:pPr>
            <w:r w:rsidRPr="00680D98">
              <w:rPr>
                <w:color w:val="000000"/>
                <w:sz w:val="17"/>
                <w:szCs w:val="17"/>
              </w:rPr>
              <w:t>10. Rate of PID Hospitalizations Females Ages 15 - 44 per 10,000 Female Population Ages 15 - 44, '08 - 10</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4</w:t>
            </w:r>
          </w:p>
        </w:tc>
        <w:tc>
          <w:tcPr>
            <w:tcW w:w="35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w:t>
            </w:r>
          </w:p>
        </w:tc>
        <w:tc>
          <w:tcPr>
            <w:tcW w:w="404" w:type="pct"/>
            <w:tcBorders>
              <w:top w:val="nil"/>
              <w:left w:val="nil"/>
              <w:bottom w:val="single" w:sz="4" w:space="0" w:color="auto"/>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3</w:t>
            </w:r>
          </w:p>
        </w:tc>
        <w:tc>
          <w:tcPr>
            <w:tcW w:w="1267" w:type="pct"/>
            <w:tcBorders>
              <w:top w:val="single" w:sz="4" w:space="0" w:color="BFBFBF"/>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2.9</w:t>
            </w:r>
          </w:p>
        </w:tc>
      </w:tr>
      <w:tr w:rsidR="001670EC" w:rsidRPr="00680D98" w:rsidTr="00622A7D">
        <w:trPr>
          <w:trHeight w:val="1"/>
        </w:trPr>
        <w:tc>
          <w:tcPr>
            <w:tcW w:w="5000" w:type="pct"/>
            <w:gridSpan w:val="5"/>
            <w:tcBorders>
              <w:top w:val="single" w:sz="4" w:space="0" w:color="auto"/>
              <w:left w:val="single" w:sz="8" w:space="0" w:color="auto"/>
              <w:bottom w:val="double" w:sz="6" w:space="0" w:color="auto"/>
            </w:tcBorders>
            <w:shd w:val="clear" w:color="000000" w:fill="BFBFBF"/>
            <w:vAlign w:val="bottom"/>
          </w:tcPr>
          <w:p w:rsidR="001670EC" w:rsidRPr="00680D98" w:rsidRDefault="001670EC" w:rsidP="00851356">
            <w:pPr>
              <w:jc w:val="center"/>
              <w:rPr>
                <w:b/>
                <w:bCs/>
                <w:color w:val="000000"/>
                <w:sz w:val="17"/>
                <w:szCs w:val="17"/>
              </w:rPr>
            </w:pPr>
            <w:r w:rsidRPr="00680D98">
              <w:rPr>
                <w:b/>
                <w:bCs/>
                <w:color w:val="000000"/>
                <w:sz w:val="17"/>
                <w:szCs w:val="17"/>
              </w:rPr>
              <w:t>Summary for Other Indicators</w:t>
            </w:r>
          </w:p>
        </w:tc>
      </w:tr>
      <w:tr w:rsidR="001670EC" w:rsidRPr="00680D98" w:rsidTr="00622A7D">
        <w:trPr>
          <w:trHeight w:val="2"/>
        </w:trPr>
        <w:tc>
          <w:tcPr>
            <w:tcW w:w="5000" w:type="pct"/>
            <w:gridSpan w:val="5"/>
            <w:tcBorders>
              <w:top w:val="double" w:sz="6" w:space="0" w:color="auto"/>
              <w:left w:val="single" w:sz="8" w:space="0" w:color="auto"/>
              <w:bottom w:val="single" w:sz="8" w:space="0" w:color="auto"/>
            </w:tcBorders>
            <w:shd w:val="clear" w:color="000000" w:fill="A5A5A5"/>
            <w:vAlign w:val="bottom"/>
          </w:tcPr>
          <w:p w:rsidR="001670EC" w:rsidRPr="00680D98" w:rsidRDefault="001670EC">
            <w:pPr>
              <w:jc w:val="center"/>
              <w:rPr>
                <w:b/>
                <w:bCs/>
                <w:color w:val="000000"/>
                <w:sz w:val="17"/>
                <w:szCs w:val="17"/>
              </w:rPr>
            </w:pPr>
            <w:r w:rsidRPr="00680D98">
              <w:rPr>
                <w:b/>
                <w:bCs/>
                <w:color w:val="000000"/>
                <w:sz w:val="17"/>
                <w:szCs w:val="17"/>
              </w:rPr>
              <w:t>Summary for Sexually Transmitted Diseases</w:t>
            </w:r>
          </w:p>
        </w:tc>
      </w:tr>
      <w:tr w:rsidR="001670EC" w:rsidRPr="00680D98" w:rsidTr="00622A7D">
        <w:trPr>
          <w:trHeight w:val="925"/>
        </w:trPr>
        <w:tc>
          <w:tcPr>
            <w:tcW w:w="2614" w:type="pct"/>
            <w:vMerge w:val="restart"/>
            <w:tcBorders>
              <w:top w:val="single" w:sz="8" w:space="0" w:color="auto"/>
              <w:left w:val="single" w:sz="8" w:space="0" w:color="auto"/>
              <w:right w:val="single" w:sz="8" w:space="0" w:color="auto"/>
            </w:tcBorders>
            <w:shd w:val="clear" w:color="000000" w:fill="A5A5A5"/>
            <w:vAlign w:val="bottom"/>
          </w:tcPr>
          <w:p w:rsidR="001670EC" w:rsidRPr="00680D98" w:rsidRDefault="001670EC">
            <w:pPr>
              <w:rPr>
                <w:color w:val="000000"/>
                <w:sz w:val="17"/>
                <w:szCs w:val="17"/>
              </w:rPr>
            </w:pPr>
            <w:r w:rsidRPr="00680D98">
              <w:rPr>
                <w:color w:val="000000"/>
                <w:sz w:val="17"/>
                <w:szCs w:val="17"/>
              </w:rPr>
              <w:t> </w:t>
            </w:r>
          </w:p>
          <w:p w:rsidR="001670EC" w:rsidRPr="00680D98" w:rsidRDefault="001670EC" w:rsidP="00851356">
            <w:pPr>
              <w:rPr>
                <w:color w:val="000000"/>
                <w:sz w:val="17"/>
                <w:szCs w:val="17"/>
              </w:rPr>
            </w:pPr>
            <w:r w:rsidRPr="00680D98">
              <w:rPr>
                <w:color w:val="000000"/>
                <w:sz w:val="17"/>
                <w:szCs w:val="17"/>
              </w:rPr>
              <w:t> </w:t>
            </w:r>
            <w:r w:rsidRPr="003311B5">
              <w:rPr>
                <w:b/>
                <w:bCs/>
                <w:color w:val="000000"/>
              </w:rPr>
              <w:t>Focus Area: Vaccine Preventable Disease</w:t>
            </w:r>
          </w:p>
        </w:tc>
        <w:tc>
          <w:tcPr>
            <w:tcW w:w="1118" w:type="pct"/>
            <w:gridSpan w:val="3"/>
            <w:tcBorders>
              <w:top w:val="single" w:sz="8" w:space="0" w:color="auto"/>
              <w:left w:val="nil"/>
              <w:right w:val="single" w:sz="8" w:space="0" w:color="000000"/>
            </w:tcBorders>
            <w:shd w:val="clear" w:color="000000" w:fill="A5A5A5"/>
            <w:vAlign w:val="bottom"/>
          </w:tcPr>
          <w:p w:rsidR="001670EC" w:rsidRPr="00680D98" w:rsidRDefault="001670EC">
            <w:pPr>
              <w:jc w:val="center"/>
              <w:rPr>
                <w:b/>
                <w:bCs/>
                <w:color w:val="000000"/>
                <w:sz w:val="18"/>
                <w:szCs w:val="18"/>
              </w:rPr>
            </w:pPr>
            <w:r w:rsidRPr="00680D98">
              <w:rPr>
                <w:b/>
                <w:bCs/>
                <w:color w:val="000000"/>
                <w:sz w:val="18"/>
                <w:szCs w:val="18"/>
              </w:rPr>
              <w:t>Number Per Year</w:t>
            </w:r>
          </w:p>
          <w:p w:rsidR="001670EC" w:rsidRPr="00680D98" w:rsidRDefault="001670EC" w:rsidP="00851356">
            <w:pPr>
              <w:jc w:val="center"/>
              <w:rPr>
                <w:b/>
                <w:bCs/>
                <w:color w:val="000000"/>
                <w:sz w:val="18"/>
                <w:szCs w:val="18"/>
              </w:rPr>
            </w:pPr>
            <w:r w:rsidRPr="00680D98">
              <w:rPr>
                <w:b/>
                <w:bCs/>
                <w:color w:val="000000"/>
                <w:sz w:val="18"/>
                <w:szCs w:val="18"/>
              </w:rPr>
              <w:t>(If Available)</w:t>
            </w:r>
          </w:p>
        </w:tc>
        <w:tc>
          <w:tcPr>
            <w:tcW w:w="1267" w:type="pct"/>
            <w:vMerge w:val="restart"/>
            <w:tcBorders>
              <w:top w:val="single" w:sz="8" w:space="0" w:color="auto"/>
              <w:left w:val="single" w:sz="8" w:space="0" w:color="auto"/>
              <w:bottom w:val="single" w:sz="4" w:space="0" w:color="000000"/>
            </w:tcBorders>
            <w:shd w:val="clear" w:color="000000" w:fill="A5A5A5"/>
            <w:vAlign w:val="bottom"/>
          </w:tcPr>
          <w:p w:rsidR="001670EC" w:rsidRPr="00680D98" w:rsidRDefault="001670EC">
            <w:pPr>
              <w:jc w:val="center"/>
              <w:rPr>
                <w:b/>
                <w:bCs/>
                <w:color w:val="000000"/>
                <w:sz w:val="18"/>
                <w:szCs w:val="18"/>
              </w:rPr>
            </w:pPr>
            <w:r w:rsidRPr="00680D98">
              <w:rPr>
                <w:b/>
                <w:bCs/>
                <w:color w:val="000000"/>
                <w:sz w:val="18"/>
                <w:szCs w:val="18"/>
              </w:rPr>
              <w:t>Average Rate, Ratio or Percentage for the Listed Years</w:t>
            </w:r>
          </w:p>
        </w:tc>
      </w:tr>
      <w:tr w:rsidR="001670EC" w:rsidRPr="00680D98" w:rsidTr="00622A7D">
        <w:trPr>
          <w:trHeight w:val="1"/>
        </w:trPr>
        <w:tc>
          <w:tcPr>
            <w:tcW w:w="2614" w:type="pct"/>
            <w:vMerge/>
            <w:tcBorders>
              <w:left w:val="single" w:sz="8" w:space="0" w:color="auto"/>
              <w:bottom w:val="single" w:sz="4" w:space="0" w:color="auto"/>
              <w:right w:val="single" w:sz="8" w:space="0" w:color="auto"/>
            </w:tcBorders>
            <w:shd w:val="clear" w:color="000000" w:fill="A5A5A5"/>
            <w:vAlign w:val="bottom"/>
          </w:tcPr>
          <w:p w:rsidR="001670EC" w:rsidRPr="003311B5" w:rsidRDefault="001670EC">
            <w:pPr>
              <w:rPr>
                <w:color w:val="000000"/>
              </w:rPr>
            </w:pPr>
          </w:p>
        </w:tc>
        <w:tc>
          <w:tcPr>
            <w:tcW w:w="357" w:type="pct"/>
            <w:tcBorders>
              <w:top w:val="nil"/>
              <w:left w:val="nil"/>
              <w:bottom w:val="single" w:sz="4" w:space="0" w:color="auto"/>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One</w:t>
            </w:r>
          </w:p>
        </w:tc>
        <w:tc>
          <w:tcPr>
            <w:tcW w:w="357" w:type="pct"/>
            <w:tcBorders>
              <w:top w:val="nil"/>
              <w:left w:val="nil"/>
              <w:bottom w:val="single" w:sz="4" w:space="0" w:color="auto"/>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Two</w:t>
            </w:r>
          </w:p>
        </w:tc>
        <w:tc>
          <w:tcPr>
            <w:tcW w:w="404" w:type="pct"/>
            <w:tcBorders>
              <w:top w:val="nil"/>
              <w:left w:val="nil"/>
              <w:bottom w:val="single" w:sz="4" w:space="0" w:color="auto"/>
              <w:right w:val="single" w:sz="8"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Three</w:t>
            </w:r>
          </w:p>
        </w:tc>
        <w:tc>
          <w:tcPr>
            <w:tcW w:w="1267" w:type="pct"/>
            <w:vMerge/>
            <w:tcBorders>
              <w:top w:val="single" w:sz="8" w:space="0" w:color="auto"/>
              <w:left w:val="single" w:sz="8" w:space="0" w:color="auto"/>
              <w:bottom w:val="single" w:sz="4" w:space="0" w:color="000000"/>
            </w:tcBorders>
            <w:vAlign w:val="bottom"/>
          </w:tcPr>
          <w:p w:rsidR="001670EC" w:rsidRPr="00680D98" w:rsidRDefault="001670EC">
            <w:pPr>
              <w:rPr>
                <w:b/>
                <w:bCs/>
                <w:color w:val="000000"/>
                <w:sz w:val="18"/>
                <w:szCs w:val="18"/>
              </w:rPr>
            </w:pPr>
          </w:p>
        </w:tc>
      </w:tr>
      <w:tr w:rsidR="001670EC" w:rsidRPr="00680D98" w:rsidTr="00622A7D">
        <w:trPr>
          <w:trHeight w:val="1"/>
        </w:trPr>
        <w:tc>
          <w:tcPr>
            <w:tcW w:w="5000" w:type="pct"/>
            <w:gridSpan w:val="5"/>
            <w:tcBorders>
              <w:top w:val="single" w:sz="4" w:space="0" w:color="auto"/>
              <w:left w:val="single" w:sz="8" w:space="0" w:color="auto"/>
              <w:bottom w:val="single" w:sz="4" w:space="0" w:color="auto"/>
            </w:tcBorders>
            <w:shd w:val="clear" w:color="000000" w:fill="BFBFBF"/>
            <w:vAlign w:val="bottom"/>
          </w:tcPr>
          <w:p w:rsidR="001670EC" w:rsidRPr="00680D98" w:rsidRDefault="001670EC">
            <w:pPr>
              <w:rPr>
                <w:b/>
                <w:bCs/>
                <w:color w:val="000000"/>
                <w:sz w:val="17"/>
                <w:szCs w:val="17"/>
              </w:rPr>
            </w:pPr>
          </w:p>
        </w:tc>
      </w:tr>
      <w:tr w:rsidR="001670EC" w:rsidRPr="00680D98" w:rsidTr="00622A7D">
        <w:trPr>
          <w:trHeight w:val="1"/>
        </w:trPr>
        <w:tc>
          <w:tcPr>
            <w:tcW w:w="2614" w:type="pct"/>
            <w:tcBorders>
              <w:top w:val="nil"/>
              <w:left w:val="single" w:sz="8" w:space="0" w:color="auto"/>
              <w:bottom w:val="single" w:sz="4" w:space="0" w:color="auto"/>
              <w:right w:val="nil"/>
            </w:tcBorders>
            <w:shd w:val="clear" w:color="000000" w:fill="FFFFFF"/>
            <w:vAlign w:val="bottom"/>
          </w:tcPr>
          <w:p w:rsidR="001670EC" w:rsidRPr="00680D98" w:rsidRDefault="001670EC">
            <w:pPr>
              <w:jc w:val="center"/>
              <w:rPr>
                <w:b/>
                <w:bCs/>
                <w:color w:val="000000"/>
                <w:sz w:val="17"/>
                <w:szCs w:val="17"/>
              </w:rPr>
            </w:pPr>
            <w:r w:rsidRPr="00680D98">
              <w:rPr>
                <w:b/>
                <w:bCs/>
                <w:color w:val="000000"/>
                <w:sz w:val="17"/>
                <w:szCs w:val="17"/>
              </w:rPr>
              <w:t>Prevention Agenda Indicators</w:t>
            </w:r>
          </w:p>
        </w:tc>
        <w:tc>
          <w:tcPr>
            <w:tcW w:w="2386" w:type="pct"/>
            <w:gridSpan w:val="4"/>
            <w:tcBorders>
              <w:top w:val="single" w:sz="4" w:space="0" w:color="auto"/>
              <w:left w:val="single" w:sz="8" w:space="0" w:color="auto"/>
              <w:bottom w:val="single" w:sz="4" w:space="0" w:color="auto"/>
            </w:tcBorders>
            <w:shd w:val="clear" w:color="000000" w:fill="FFFFFF"/>
            <w:vAlign w:val="bottom"/>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1"/>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 Percent of Children Ages 19 - 35 months with 4:3:1:3:3:1:4, 2011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53.2%</w:t>
            </w:r>
          </w:p>
        </w:tc>
      </w:tr>
      <w:tr w:rsidR="001670EC" w:rsidRPr="00680D98" w:rsidTr="00622A7D">
        <w:trPr>
          <w:trHeight w:val="1"/>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2. Percent females 13 - 17 with 3 dose HPV vaccine, 2011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32.5%</w:t>
            </w:r>
          </w:p>
        </w:tc>
      </w:tr>
      <w:tr w:rsidR="001670EC" w:rsidRPr="00680D98" w:rsidTr="00622A7D">
        <w:trPr>
          <w:trHeight w:val="2"/>
        </w:trPr>
        <w:tc>
          <w:tcPr>
            <w:tcW w:w="2614" w:type="pct"/>
            <w:tcBorders>
              <w:top w:val="nil"/>
              <w:left w:val="single" w:sz="8" w:space="0" w:color="auto"/>
              <w:bottom w:val="nil"/>
              <w:right w:val="nil"/>
            </w:tcBorders>
            <w:vAlign w:val="bottom"/>
          </w:tcPr>
          <w:p w:rsidR="001670EC" w:rsidRPr="00680D98" w:rsidRDefault="001670EC">
            <w:pPr>
              <w:rPr>
                <w:color w:val="000000"/>
                <w:sz w:val="17"/>
                <w:szCs w:val="17"/>
              </w:rPr>
            </w:pPr>
            <w:r w:rsidRPr="00680D98">
              <w:rPr>
                <w:color w:val="000000"/>
                <w:sz w:val="17"/>
                <w:szCs w:val="17"/>
              </w:rPr>
              <w:t>3. Percent of Adults Ages 65 Plus With Flu Shots Within Last Year, '08/09</w:t>
            </w:r>
          </w:p>
        </w:tc>
        <w:tc>
          <w:tcPr>
            <w:tcW w:w="357" w:type="pct"/>
            <w:tcBorders>
              <w:top w:val="nil"/>
              <w:left w:val="single" w:sz="8" w:space="0" w:color="auto"/>
              <w:bottom w:val="nil"/>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nil"/>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nil"/>
              <w:right w:val="nil"/>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nil"/>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69.6%</w:t>
            </w:r>
          </w:p>
        </w:tc>
      </w:tr>
      <w:tr w:rsidR="001670EC" w:rsidRPr="00680D98" w:rsidTr="00622A7D">
        <w:trPr>
          <w:trHeight w:val="1"/>
        </w:trPr>
        <w:tc>
          <w:tcPr>
            <w:tcW w:w="5000" w:type="pct"/>
            <w:gridSpan w:val="5"/>
            <w:tcBorders>
              <w:top w:val="single" w:sz="4" w:space="0" w:color="auto"/>
              <w:left w:val="single" w:sz="8" w:space="0" w:color="auto"/>
              <w:bottom w:val="double" w:sz="6" w:space="0" w:color="auto"/>
            </w:tcBorders>
            <w:shd w:val="clear" w:color="000000" w:fill="BFBFBF"/>
          </w:tcPr>
          <w:p w:rsidR="001670EC" w:rsidRPr="00680D98" w:rsidRDefault="001670EC">
            <w:pPr>
              <w:jc w:val="center"/>
              <w:rPr>
                <w:b/>
                <w:bCs/>
                <w:color w:val="000000"/>
                <w:sz w:val="17"/>
                <w:szCs w:val="17"/>
              </w:rPr>
            </w:pPr>
            <w:r w:rsidRPr="00680D98">
              <w:rPr>
                <w:b/>
                <w:bCs/>
                <w:color w:val="000000"/>
                <w:sz w:val="17"/>
                <w:szCs w:val="17"/>
              </w:rPr>
              <w:t>Quartile Summary for Prevention Agenda Indicators</w:t>
            </w:r>
          </w:p>
        </w:tc>
      </w:tr>
      <w:tr w:rsidR="001670EC" w:rsidRPr="00680D98" w:rsidTr="00622A7D">
        <w:trPr>
          <w:trHeight w:val="1"/>
        </w:trPr>
        <w:tc>
          <w:tcPr>
            <w:tcW w:w="2614" w:type="pct"/>
            <w:tcBorders>
              <w:top w:val="nil"/>
              <w:left w:val="single" w:sz="8" w:space="0" w:color="auto"/>
              <w:bottom w:val="single" w:sz="4" w:space="0" w:color="auto"/>
              <w:right w:val="nil"/>
            </w:tcBorders>
            <w:shd w:val="clear" w:color="000000" w:fill="FFFFFF"/>
          </w:tcPr>
          <w:p w:rsidR="001670EC" w:rsidRPr="00680D98" w:rsidRDefault="001670EC">
            <w:pPr>
              <w:jc w:val="center"/>
              <w:rPr>
                <w:b/>
                <w:bCs/>
                <w:color w:val="000000"/>
                <w:sz w:val="17"/>
                <w:szCs w:val="17"/>
              </w:rPr>
            </w:pPr>
            <w:r w:rsidRPr="00680D98">
              <w:rPr>
                <w:b/>
                <w:bCs/>
                <w:color w:val="000000"/>
                <w:sz w:val="17"/>
                <w:szCs w:val="17"/>
              </w:rPr>
              <w:t>Other Indicators</w:t>
            </w:r>
          </w:p>
        </w:tc>
        <w:tc>
          <w:tcPr>
            <w:tcW w:w="2386" w:type="pct"/>
            <w:gridSpan w:val="4"/>
            <w:tcBorders>
              <w:top w:val="double" w:sz="6" w:space="0" w:color="auto"/>
              <w:left w:val="single" w:sz="8" w:space="0" w:color="auto"/>
              <w:bottom w:val="single" w:sz="4" w:space="0" w:color="auto"/>
            </w:tcBorders>
            <w:shd w:val="clear" w:color="000000" w:fill="FFFFFF"/>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1"/>
        </w:trPr>
        <w:tc>
          <w:tcPr>
            <w:tcW w:w="2614" w:type="pct"/>
            <w:tcBorders>
              <w:top w:val="nil"/>
              <w:left w:val="single" w:sz="8" w:space="0" w:color="auto"/>
              <w:bottom w:val="single" w:sz="4" w:space="0" w:color="BFBFBF"/>
              <w:right w:val="single" w:sz="8" w:space="0" w:color="auto"/>
            </w:tcBorders>
          </w:tcPr>
          <w:p w:rsidR="001670EC" w:rsidRPr="00680D98" w:rsidRDefault="001670EC">
            <w:pPr>
              <w:rPr>
                <w:color w:val="000000"/>
                <w:sz w:val="17"/>
                <w:szCs w:val="17"/>
              </w:rPr>
            </w:pPr>
            <w:r w:rsidRPr="00680D98">
              <w:rPr>
                <w:color w:val="000000"/>
                <w:sz w:val="17"/>
                <w:szCs w:val="17"/>
              </w:rPr>
              <w:t>1. Rate of Pertussis Cases per 100,000 Population, '08 - 10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2</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1.2</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tcPr>
          <w:p w:rsidR="001670EC" w:rsidRPr="00680D98" w:rsidRDefault="001670EC">
            <w:pPr>
              <w:rPr>
                <w:color w:val="000000"/>
                <w:sz w:val="17"/>
                <w:szCs w:val="17"/>
              </w:rPr>
            </w:pPr>
            <w:r w:rsidRPr="00680D98">
              <w:rPr>
                <w:color w:val="000000"/>
                <w:sz w:val="17"/>
                <w:szCs w:val="17"/>
              </w:rPr>
              <w:t>2. Rate of Pneumonia/flu Hospitalizations Ages 65 Plus per 100,000 Population Age 65 Plus, '08 - 10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99</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133</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133</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138.8</w:t>
            </w:r>
          </w:p>
        </w:tc>
      </w:tr>
      <w:tr w:rsidR="001670EC" w:rsidRPr="00680D98" w:rsidTr="00622A7D">
        <w:trPr>
          <w:trHeight w:val="2"/>
        </w:trPr>
        <w:tc>
          <w:tcPr>
            <w:tcW w:w="2614" w:type="pct"/>
            <w:tcBorders>
              <w:top w:val="nil"/>
              <w:left w:val="single" w:sz="8" w:space="0" w:color="auto"/>
              <w:bottom w:val="single" w:sz="4" w:space="0" w:color="BFBFBF"/>
              <w:right w:val="single" w:sz="8" w:space="0" w:color="auto"/>
            </w:tcBorders>
          </w:tcPr>
          <w:p w:rsidR="001670EC" w:rsidRPr="00680D98" w:rsidRDefault="001670EC">
            <w:pPr>
              <w:rPr>
                <w:color w:val="000000"/>
                <w:sz w:val="17"/>
                <w:szCs w:val="17"/>
              </w:rPr>
            </w:pPr>
            <w:r w:rsidRPr="00680D98">
              <w:rPr>
                <w:color w:val="000000"/>
                <w:sz w:val="17"/>
                <w:szCs w:val="17"/>
              </w:rPr>
              <w:t>3. Percent of Adults Ages 65 Plus Ever Received a Pneumonia Shot, '08/09</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64.8%</w:t>
            </w:r>
          </w:p>
        </w:tc>
      </w:tr>
      <w:tr w:rsidR="001670EC" w:rsidRPr="00680D98" w:rsidTr="00622A7D">
        <w:trPr>
          <w:trHeight w:val="1"/>
        </w:trPr>
        <w:tc>
          <w:tcPr>
            <w:tcW w:w="2614" w:type="pct"/>
            <w:tcBorders>
              <w:top w:val="nil"/>
              <w:left w:val="single" w:sz="8" w:space="0" w:color="auto"/>
              <w:bottom w:val="single" w:sz="4" w:space="0" w:color="BFBFBF"/>
              <w:right w:val="single" w:sz="8" w:space="0" w:color="auto"/>
            </w:tcBorders>
          </w:tcPr>
          <w:p w:rsidR="001670EC" w:rsidRPr="00680D98" w:rsidRDefault="001670EC">
            <w:pPr>
              <w:rPr>
                <w:color w:val="000000"/>
                <w:sz w:val="17"/>
                <w:szCs w:val="17"/>
              </w:rPr>
            </w:pPr>
            <w:r w:rsidRPr="00680D98">
              <w:rPr>
                <w:color w:val="000000"/>
                <w:sz w:val="17"/>
                <w:szCs w:val="17"/>
              </w:rPr>
              <w:t>4. Rate of Mumps Cases per 100,000 Population, '08 - 10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1"/>
        </w:trPr>
        <w:tc>
          <w:tcPr>
            <w:tcW w:w="2614" w:type="pct"/>
            <w:tcBorders>
              <w:top w:val="nil"/>
              <w:left w:val="single" w:sz="8" w:space="0" w:color="auto"/>
              <w:bottom w:val="single" w:sz="4" w:space="0" w:color="BFBFBF"/>
              <w:right w:val="single" w:sz="8" w:space="0" w:color="auto"/>
            </w:tcBorders>
          </w:tcPr>
          <w:p w:rsidR="001670EC" w:rsidRPr="00680D98" w:rsidRDefault="001670EC">
            <w:pPr>
              <w:rPr>
                <w:color w:val="000000"/>
                <w:sz w:val="17"/>
                <w:szCs w:val="17"/>
              </w:rPr>
            </w:pPr>
            <w:r w:rsidRPr="00680D98">
              <w:rPr>
                <w:color w:val="000000"/>
                <w:sz w:val="17"/>
                <w:szCs w:val="17"/>
              </w:rPr>
              <w:t>5. Rate of Meningococcal Cases per 100,000 Population, '08 - 10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1"/>
        </w:trPr>
        <w:tc>
          <w:tcPr>
            <w:tcW w:w="2614" w:type="pct"/>
            <w:tcBorders>
              <w:top w:val="nil"/>
              <w:left w:val="single" w:sz="8" w:space="0" w:color="auto"/>
              <w:bottom w:val="single" w:sz="4" w:space="0" w:color="auto"/>
              <w:right w:val="single" w:sz="8" w:space="0" w:color="auto"/>
            </w:tcBorders>
          </w:tcPr>
          <w:p w:rsidR="001670EC" w:rsidRPr="00680D98" w:rsidRDefault="001670EC">
            <w:pPr>
              <w:rPr>
                <w:color w:val="000000"/>
                <w:sz w:val="17"/>
                <w:szCs w:val="17"/>
              </w:rPr>
            </w:pPr>
            <w:r w:rsidRPr="00680D98">
              <w:rPr>
                <w:color w:val="000000"/>
                <w:sz w:val="17"/>
                <w:szCs w:val="17"/>
              </w:rPr>
              <w:t>6. Rate of H Influenza Cases per 100,000 Population, '08 - 10</w:t>
            </w:r>
          </w:p>
        </w:tc>
        <w:tc>
          <w:tcPr>
            <w:tcW w:w="357" w:type="pct"/>
            <w:tcBorders>
              <w:top w:val="nil"/>
              <w:left w:val="nil"/>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2</w:t>
            </w:r>
          </w:p>
        </w:tc>
        <w:tc>
          <w:tcPr>
            <w:tcW w:w="404" w:type="pct"/>
            <w:tcBorders>
              <w:top w:val="nil"/>
              <w:left w:val="nil"/>
              <w:bottom w:val="single" w:sz="4" w:space="0" w:color="auto"/>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w:t>
            </w:r>
          </w:p>
        </w:tc>
        <w:tc>
          <w:tcPr>
            <w:tcW w:w="1267" w:type="pct"/>
            <w:tcBorders>
              <w:top w:val="single" w:sz="4" w:space="0" w:color="BFBFBF"/>
              <w:left w:val="nil"/>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1.8</w:t>
            </w:r>
          </w:p>
        </w:tc>
      </w:tr>
      <w:tr w:rsidR="001670EC" w:rsidRPr="00680D98" w:rsidTr="00622A7D">
        <w:trPr>
          <w:trHeight w:val="1"/>
        </w:trPr>
        <w:tc>
          <w:tcPr>
            <w:tcW w:w="5000" w:type="pct"/>
            <w:gridSpan w:val="5"/>
            <w:tcBorders>
              <w:top w:val="single" w:sz="4" w:space="0" w:color="auto"/>
              <w:left w:val="single" w:sz="8" w:space="0" w:color="auto"/>
              <w:bottom w:val="double" w:sz="6" w:space="0" w:color="auto"/>
            </w:tcBorders>
            <w:shd w:val="clear" w:color="000000" w:fill="BFBFBF"/>
          </w:tcPr>
          <w:p w:rsidR="001670EC" w:rsidRPr="00680D98" w:rsidRDefault="001670EC">
            <w:pPr>
              <w:jc w:val="center"/>
              <w:rPr>
                <w:b/>
                <w:bCs/>
                <w:color w:val="000000"/>
                <w:sz w:val="18"/>
                <w:szCs w:val="18"/>
              </w:rPr>
            </w:pPr>
            <w:r w:rsidRPr="00680D98">
              <w:rPr>
                <w:b/>
                <w:bCs/>
                <w:color w:val="000000"/>
                <w:sz w:val="18"/>
                <w:szCs w:val="18"/>
              </w:rPr>
              <w:t>Quartile Summary for Other Indicators</w:t>
            </w:r>
          </w:p>
        </w:tc>
      </w:tr>
      <w:tr w:rsidR="001670EC" w:rsidRPr="00680D98" w:rsidTr="00622A7D">
        <w:trPr>
          <w:trHeight w:val="1378"/>
        </w:trPr>
        <w:tc>
          <w:tcPr>
            <w:tcW w:w="2614" w:type="pct"/>
            <w:vMerge w:val="restart"/>
            <w:tcBorders>
              <w:top w:val="single" w:sz="8" w:space="0" w:color="auto"/>
              <w:left w:val="single" w:sz="8" w:space="0" w:color="auto"/>
              <w:right w:val="single" w:sz="8" w:space="0" w:color="auto"/>
            </w:tcBorders>
            <w:shd w:val="clear" w:color="000000" w:fill="A5A5A5"/>
          </w:tcPr>
          <w:p w:rsidR="001670EC" w:rsidRPr="00680D98" w:rsidRDefault="001670EC" w:rsidP="00851356">
            <w:pPr>
              <w:rPr>
                <w:b/>
                <w:bCs/>
                <w:color w:val="000000"/>
                <w:sz w:val="18"/>
                <w:szCs w:val="18"/>
              </w:rPr>
            </w:pPr>
            <w:r w:rsidRPr="00680D98">
              <w:rPr>
                <w:b/>
                <w:bCs/>
                <w:color w:val="000000"/>
                <w:sz w:val="18"/>
                <w:szCs w:val="18"/>
              </w:rPr>
              <w:t> </w:t>
            </w:r>
          </w:p>
          <w:p w:rsidR="001670EC" w:rsidRPr="00680D98" w:rsidRDefault="001670EC" w:rsidP="00851356">
            <w:pPr>
              <w:rPr>
                <w:b/>
                <w:bCs/>
                <w:color w:val="000000"/>
                <w:sz w:val="18"/>
                <w:szCs w:val="18"/>
              </w:rPr>
            </w:pPr>
            <w:r w:rsidRPr="00680D98">
              <w:rPr>
                <w:color w:val="000000"/>
                <w:sz w:val="18"/>
                <w:szCs w:val="18"/>
              </w:rPr>
              <w:t> </w:t>
            </w:r>
            <w:r w:rsidRPr="00680D98">
              <w:rPr>
                <w:b/>
                <w:bCs/>
                <w:color w:val="000000"/>
              </w:rPr>
              <w:t>Focus Area: Healthcare Associated Infections</w:t>
            </w:r>
          </w:p>
        </w:tc>
        <w:tc>
          <w:tcPr>
            <w:tcW w:w="1118" w:type="pct"/>
            <w:gridSpan w:val="3"/>
            <w:tcBorders>
              <w:top w:val="single" w:sz="8" w:space="0" w:color="auto"/>
              <w:left w:val="nil"/>
              <w:right w:val="single" w:sz="8" w:space="0" w:color="000000"/>
            </w:tcBorders>
            <w:shd w:val="clear" w:color="000000" w:fill="A5A5A5"/>
          </w:tcPr>
          <w:p w:rsidR="001670EC" w:rsidRPr="00680D98" w:rsidRDefault="001670EC" w:rsidP="00851356">
            <w:pPr>
              <w:jc w:val="center"/>
              <w:rPr>
                <w:b/>
                <w:bCs/>
                <w:color w:val="000000"/>
                <w:sz w:val="18"/>
                <w:szCs w:val="18"/>
              </w:rPr>
            </w:pPr>
            <w:r w:rsidRPr="00680D98">
              <w:rPr>
                <w:b/>
                <w:bCs/>
                <w:color w:val="000000"/>
                <w:sz w:val="18"/>
                <w:szCs w:val="18"/>
              </w:rPr>
              <w:t>Number Per Year</w:t>
            </w:r>
          </w:p>
          <w:p w:rsidR="001670EC" w:rsidRPr="00680D98" w:rsidRDefault="001670EC" w:rsidP="00851356">
            <w:pPr>
              <w:jc w:val="center"/>
              <w:rPr>
                <w:b/>
                <w:bCs/>
                <w:color w:val="000000"/>
                <w:sz w:val="18"/>
                <w:szCs w:val="18"/>
              </w:rPr>
            </w:pPr>
            <w:r w:rsidRPr="00680D98">
              <w:rPr>
                <w:b/>
                <w:bCs/>
                <w:color w:val="000000"/>
                <w:sz w:val="18"/>
                <w:szCs w:val="18"/>
              </w:rPr>
              <w:t>(If Available)</w:t>
            </w:r>
          </w:p>
        </w:tc>
        <w:tc>
          <w:tcPr>
            <w:tcW w:w="1267" w:type="pct"/>
            <w:vMerge w:val="restart"/>
            <w:tcBorders>
              <w:top w:val="single" w:sz="8" w:space="0" w:color="auto"/>
              <w:left w:val="single" w:sz="8" w:space="0" w:color="auto"/>
              <w:bottom w:val="double" w:sz="6" w:space="0" w:color="000000"/>
            </w:tcBorders>
            <w:shd w:val="clear" w:color="000000" w:fill="A5A5A5"/>
          </w:tcPr>
          <w:p w:rsidR="001670EC" w:rsidRPr="00680D98" w:rsidRDefault="001670EC" w:rsidP="00851356">
            <w:pPr>
              <w:rPr>
                <w:b/>
                <w:bCs/>
                <w:color w:val="000000"/>
                <w:sz w:val="18"/>
                <w:szCs w:val="18"/>
              </w:rPr>
            </w:pPr>
          </w:p>
          <w:p w:rsidR="001670EC" w:rsidRPr="00680D98" w:rsidRDefault="001670EC">
            <w:pPr>
              <w:jc w:val="center"/>
              <w:rPr>
                <w:b/>
                <w:bCs/>
                <w:color w:val="000000"/>
                <w:sz w:val="18"/>
                <w:szCs w:val="18"/>
              </w:rPr>
            </w:pPr>
            <w:r w:rsidRPr="00680D98">
              <w:rPr>
                <w:b/>
                <w:bCs/>
                <w:color w:val="000000"/>
                <w:sz w:val="18"/>
                <w:szCs w:val="18"/>
              </w:rPr>
              <w:t>Average Rate, Ratio or Percentage for the Listed Years</w:t>
            </w:r>
          </w:p>
        </w:tc>
      </w:tr>
      <w:tr w:rsidR="001670EC" w:rsidRPr="00680D98" w:rsidTr="00622A7D">
        <w:trPr>
          <w:trHeight w:val="1"/>
        </w:trPr>
        <w:tc>
          <w:tcPr>
            <w:tcW w:w="2614" w:type="pct"/>
            <w:vMerge/>
            <w:tcBorders>
              <w:left w:val="single" w:sz="8" w:space="0" w:color="auto"/>
              <w:bottom w:val="double" w:sz="6" w:space="0" w:color="auto"/>
              <w:right w:val="single" w:sz="8" w:space="0" w:color="auto"/>
            </w:tcBorders>
            <w:shd w:val="clear" w:color="000000" w:fill="A5A5A5"/>
          </w:tcPr>
          <w:p w:rsidR="001670EC" w:rsidRPr="00680D98" w:rsidRDefault="001670EC">
            <w:pPr>
              <w:rPr>
                <w:color w:val="000000"/>
                <w:sz w:val="18"/>
                <w:szCs w:val="18"/>
              </w:rPr>
            </w:pPr>
          </w:p>
        </w:tc>
        <w:tc>
          <w:tcPr>
            <w:tcW w:w="357" w:type="pct"/>
            <w:tcBorders>
              <w:top w:val="nil"/>
              <w:left w:val="nil"/>
              <w:bottom w:val="double" w:sz="6" w:space="0" w:color="auto"/>
              <w:right w:val="single" w:sz="4" w:space="0" w:color="auto"/>
            </w:tcBorders>
            <w:shd w:val="clear" w:color="000000" w:fill="A5A5A5"/>
            <w:noWrap/>
          </w:tcPr>
          <w:p w:rsidR="001670EC" w:rsidRPr="00680D98" w:rsidRDefault="001670EC">
            <w:pPr>
              <w:jc w:val="center"/>
              <w:rPr>
                <w:b/>
                <w:bCs/>
                <w:color w:val="000000"/>
                <w:sz w:val="18"/>
                <w:szCs w:val="18"/>
              </w:rPr>
            </w:pPr>
            <w:r w:rsidRPr="00680D98">
              <w:rPr>
                <w:b/>
                <w:bCs/>
                <w:color w:val="000000"/>
                <w:sz w:val="18"/>
                <w:szCs w:val="18"/>
              </w:rPr>
              <w:t>One</w:t>
            </w:r>
          </w:p>
        </w:tc>
        <w:tc>
          <w:tcPr>
            <w:tcW w:w="357" w:type="pct"/>
            <w:tcBorders>
              <w:top w:val="nil"/>
              <w:left w:val="nil"/>
              <w:bottom w:val="double" w:sz="6" w:space="0" w:color="auto"/>
              <w:right w:val="single" w:sz="4" w:space="0" w:color="auto"/>
            </w:tcBorders>
            <w:shd w:val="clear" w:color="000000" w:fill="A5A5A5"/>
            <w:noWrap/>
          </w:tcPr>
          <w:p w:rsidR="001670EC" w:rsidRPr="00680D98" w:rsidRDefault="001670EC">
            <w:pPr>
              <w:jc w:val="center"/>
              <w:rPr>
                <w:b/>
                <w:bCs/>
                <w:color w:val="000000"/>
                <w:sz w:val="18"/>
                <w:szCs w:val="18"/>
              </w:rPr>
            </w:pPr>
            <w:r w:rsidRPr="00680D98">
              <w:rPr>
                <w:b/>
                <w:bCs/>
                <w:color w:val="000000"/>
                <w:sz w:val="18"/>
                <w:szCs w:val="18"/>
              </w:rPr>
              <w:t>Two</w:t>
            </w:r>
          </w:p>
        </w:tc>
        <w:tc>
          <w:tcPr>
            <w:tcW w:w="404" w:type="pct"/>
            <w:tcBorders>
              <w:top w:val="nil"/>
              <w:left w:val="nil"/>
              <w:bottom w:val="double" w:sz="6" w:space="0" w:color="auto"/>
              <w:right w:val="single" w:sz="8" w:space="0" w:color="auto"/>
            </w:tcBorders>
            <w:shd w:val="clear" w:color="000000" w:fill="A5A5A5"/>
            <w:noWrap/>
          </w:tcPr>
          <w:p w:rsidR="001670EC" w:rsidRPr="00680D98" w:rsidRDefault="001670EC">
            <w:pPr>
              <w:jc w:val="center"/>
              <w:rPr>
                <w:b/>
                <w:bCs/>
                <w:color w:val="000000"/>
                <w:sz w:val="18"/>
                <w:szCs w:val="18"/>
              </w:rPr>
            </w:pPr>
            <w:r w:rsidRPr="00680D98">
              <w:rPr>
                <w:b/>
                <w:bCs/>
                <w:color w:val="000000"/>
                <w:sz w:val="18"/>
                <w:szCs w:val="18"/>
              </w:rPr>
              <w:t>Three</w:t>
            </w:r>
          </w:p>
        </w:tc>
        <w:tc>
          <w:tcPr>
            <w:tcW w:w="1267" w:type="pct"/>
            <w:vMerge/>
            <w:tcBorders>
              <w:top w:val="single" w:sz="8" w:space="0" w:color="auto"/>
              <w:left w:val="single" w:sz="8" w:space="0" w:color="auto"/>
              <w:bottom w:val="double" w:sz="6" w:space="0" w:color="000000"/>
            </w:tcBorders>
          </w:tcPr>
          <w:p w:rsidR="001670EC" w:rsidRPr="00680D98" w:rsidRDefault="001670EC">
            <w:pPr>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tcPr>
          <w:p w:rsidR="001670EC" w:rsidRPr="00680D98" w:rsidRDefault="001670EC">
            <w:pPr>
              <w:jc w:val="center"/>
              <w:rPr>
                <w:b/>
                <w:bCs/>
                <w:color w:val="000000"/>
                <w:sz w:val="18"/>
                <w:szCs w:val="18"/>
              </w:rPr>
            </w:pPr>
            <w:r w:rsidRPr="00680D98">
              <w:rPr>
                <w:b/>
                <w:bCs/>
                <w:color w:val="000000"/>
                <w:sz w:val="18"/>
                <w:szCs w:val="18"/>
              </w:rPr>
              <w:t>Prevention Agenda Indicators</w:t>
            </w:r>
          </w:p>
        </w:tc>
        <w:tc>
          <w:tcPr>
            <w:tcW w:w="2386" w:type="pct"/>
            <w:gridSpan w:val="4"/>
            <w:tcBorders>
              <w:top w:val="single" w:sz="4" w:space="0" w:color="auto"/>
              <w:left w:val="single" w:sz="8" w:space="0" w:color="auto"/>
              <w:bottom w:val="single" w:sz="4" w:space="0" w:color="auto"/>
            </w:tcBorders>
            <w:shd w:val="clear" w:color="000000" w:fill="FFFFFF"/>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5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 Rate of Hospital Onset CDIs per 10,000 Patient Days,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6.6</w:t>
            </w:r>
          </w:p>
        </w:tc>
      </w:tr>
      <w:tr w:rsidR="001670EC" w:rsidRPr="00680D98" w:rsidTr="00622A7D">
        <w:trPr>
          <w:trHeight w:val="9"/>
        </w:trPr>
        <w:tc>
          <w:tcPr>
            <w:tcW w:w="2614" w:type="pct"/>
            <w:tcBorders>
              <w:top w:val="nil"/>
              <w:left w:val="single" w:sz="8" w:space="0" w:color="auto"/>
              <w:bottom w:val="single" w:sz="4" w:space="0" w:color="auto"/>
              <w:right w:val="nil"/>
            </w:tcBorders>
          </w:tcPr>
          <w:p w:rsidR="001670EC" w:rsidRPr="00680D98" w:rsidRDefault="001670EC">
            <w:pPr>
              <w:rPr>
                <w:color w:val="000000"/>
                <w:sz w:val="17"/>
                <w:szCs w:val="17"/>
              </w:rPr>
            </w:pPr>
            <w:r w:rsidRPr="00680D98">
              <w:rPr>
                <w:color w:val="000000"/>
                <w:sz w:val="17"/>
                <w:szCs w:val="17"/>
              </w:rPr>
              <w:t>2. Rate of Community Onset, Healthcare Facility Associated CDIs per 10,000 Patient Days, 2011</w:t>
            </w:r>
          </w:p>
        </w:tc>
        <w:tc>
          <w:tcPr>
            <w:tcW w:w="357" w:type="pct"/>
            <w:tcBorders>
              <w:top w:val="nil"/>
              <w:left w:val="single" w:sz="8" w:space="0" w:color="auto"/>
              <w:bottom w:val="single" w:sz="4" w:space="0" w:color="auto"/>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auto"/>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auto"/>
              <w:right w:val="nil"/>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5.3</w:t>
            </w:r>
          </w:p>
        </w:tc>
      </w:tr>
      <w:tr w:rsidR="001670EC" w:rsidRPr="00680D98" w:rsidTr="00622A7D">
        <w:trPr>
          <w:trHeight w:val="6"/>
        </w:trPr>
        <w:tc>
          <w:tcPr>
            <w:tcW w:w="5000" w:type="pct"/>
            <w:gridSpan w:val="5"/>
            <w:tcBorders>
              <w:top w:val="double" w:sz="6" w:space="0" w:color="auto"/>
              <w:left w:val="single" w:sz="8" w:space="0" w:color="auto"/>
              <w:bottom w:val="double" w:sz="6" w:space="0" w:color="auto"/>
            </w:tcBorders>
            <w:shd w:val="clear" w:color="000000" w:fill="A5A5A5"/>
          </w:tcPr>
          <w:p w:rsidR="001670EC" w:rsidRPr="00680D98" w:rsidRDefault="001670EC">
            <w:pPr>
              <w:jc w:val="center"/>
              <w:rPr>
                <w:b/>
                <w:bCs/>
                <w:color w:val="000000"/>
                <w:sz w:val="18"/>
                <w:szCs w:val="18"/>
              </w:rPr>
            </w:pPr>
            <w:r w:rsidRPr="00680D98">
              <w:rPr>
                <w:b/>
                <w:bCs/>
                <w:color w:val="000000"/>
                <w:sz w:val="18"/>
                <w:szCs w:val="18"/>
              </w:rPr>
              <w:t>Quartile Summary for Healthcare Associated Infections</w:t>
            </w:r>
          </w:p>
        </w:tc>
      </w:tr>
      <w:tr w:rsidR="001670EC" w:rsidRPr="00680D98" w:rsidTr="00622A7D">
        <w:trPr>
          <w:trHeight w:val="925"/>
        </w:trPr>
        <w:tc>
          <w:tcPr>
            <w:tcW w:w="2614" w:type="pct"/>
            <w:vMerge w:val="restart"/>
            <w:tcBorders>
              <w:top w:val="single" w:sz="8" w:space="0" w:color="auto"/>
              <w:left w:val="single" w:sz="8" w:space="0" w:color="auto"/>
              <w:right w:val="single" w:sz="8" w:space="0" w:color="auto"/>
            </w:tcBorders>
            <w:shd w:val="clear" w:color="000000" w:fill="A5A5A5"/>
          </w:tcPr>
          <w:p w:rsidR="001670EC" w:rsidRPr="00851356" w:rsidRDefault="001670EC" w:rsidP="00851356">
            <w:pPr>
              <w:rPr>
                <w:color w:val="000000"/>
                <w:sz w:val="18"/>
                <w:szCs w:val="18"/>
              </w:rPr>
            </w:pPr>
            <w:r w:rsidRPr="00680D98">
              <w:rPr>
                <w:b/>
                <w:bCs/>
                <w:color w:val="000000"/>
                <w:sz w:val="18"/>
                <w:szCs w:val="18"/>
              </w:rPr>
              <w:t> </w:t>
            </w:r>
          </w:p>
          <w:p w:rsidR="001670EC" w:rsidRPr="00680D98" w:rsidRDefault="001670EC" w:rsidP="00851356">
            <w:pPr>
              <w:rPr>
                <w:color w:val="000000"/>
                <w:sz w:val="18"/>
                <w:szCs w:val="18"/>
              </w:rPr>
            </w:pPr>
            <w:r w:rsidRPr="00680D98">
              <w:rPr>
                <w:color w:val="000000"/>
                <w:sz w:val="18"/>
                <w:szCs w:val="18"/>
              </w:rPr>
              <w:t> </w:t>
            </w:r>
            <w:r w:rsidRPr="003311B5">
              <w:rPr>
                <w:b/>
                <w:bCs/>
                <w:color w:val="000000"/>
              </w:rPr>
              <w:t>Focus Area: Prevent Substance Abuse and Other Mental, Em0tional, and Behavioral Disorders</w:t>
            </w:r>
          </w:p>
        </w:tc>
        <w:tc>
          <w:tcPr>
            <w:tcW w:w="1118" w:type="pct"/>
            <w:gridSpan w:val="3"/>
            <w:tcBorders>
              <w:top w:val="single" w:sz="8" w:space="0" w:color="auto"/>
              <w:left w:val="nil"/>
              <w:right w:val="single" w:sz="8" w:space="0" w:color="000000"/>
            </w:tcBorders>
            <w:shd w:val="clear" w:color="000000" w:fill="A5A5A5"/>
          </w:tcPr>
          <w:p w:rsidR="001670EC" w:rsidRPr="00680D98" w:rsidRDefault="001670EC">
            <w:pPr>
              <w:jc w:val="center"/>
              <w:rPr>
                <w:b/>
                <w:bCs/>
                <w:color w:val="000000"/>
                <w:sz w:val="18"/>
                <w:szCs w:val="18"/>
              </w:rPr>
            </w:pPr>
            <w:r w:rsidRPr="00680D98">
              <w:rPr>
                <w:b/>
                <w:bCs/>
                <w:color w:val="000000"/>
                <w:sz w:val="18"/>
                <w:szCs w:val="18"/>
              </w:rPr>
              <w:t>Number Per Year</w:t>
            </w:r>
          </w:p>
          <w:p w:rsidR="001670EC" w:rsidRPr="00680D98" w:rsidRDefault="001670EC" w:rsidP="00851356">
            <w:pPr>
              <w:jc w:val="center"/>
              <w:rPr>
                <w:b/>
                <w:bCs/>
                <w:color w:val="000000"/>
                <w:sz w:val="18"/>
                <w:szCs w:val="18"/>
              </w:rPr>
            </w:pPr>
            <w:r w:rsidRPr="00680D98">
              <w:rPr>
                <w:b/>
                <w:bCs/>
                <w:color w:val="000000"/>
                <w:sz w:val="18"/>
                <w:szCs w:val="18"/>
              </w:rPr>
              <w:t>(If Available)</w:t>
            </w:r>
          </w:p>
        </w:tc>
        <w:tc>
          <w:tcPr>
            <w:tcW w:w="1267" w:type="pct"/>
            <w:vMerge w:val="restart"/>
            <w:tcBorders>
              <w:top w:val="single" w:sz="8" w:space="0" w:color="auto"/>
              <w:left w:val="single" w:sz="8" w:space="0" w:color="auto"/>
              <w:bottom w:val="double" w:sz="6" w:space="0" w:color="000000"/>
            </w:tcBorders>
            <w:shd w:val="clear" w:color="000000" w:fill="A5A5A5"/>
          </w:tcPr>
          <w:p w:rsidR="001670EC" w:rsidRPr="00680D98" w:rsidRDefault="001670EC">
            <w:pPr>
              <w:jc w:val="center"/>
              <w:rPr>
                <w:b/>
                <w:bCs/>
                <w:color w:val="000000"/>
                <w:sz w:val="18"/>
                <w:szCs w:val="18"/>
              </w:rPr>
            </w:pPr>
            <w:r w:rsidRPr="00680D98">
              <w:rPr>
                <w:b/>
                <w:bCs/>
                <w:color w:val="000000"/>
                <w:sz w:val="18"/>
                <w:szCs w:val="18"/>
              </w:rPr>
              <w:t>Average Rate, Ratio or Percentage for the Listed Years</w:t>
            </w:r>
          </w:p>
        </w:tc>
      </w:tr>
      <w:tr w:rsidR="001670EC" w:rsidRPr="00680D98" w:rsidTr="00622A7D">
        <w:trPr>
          <w:trHeight w:val="59"/>
        </w:trPr>
        <w:tc>
          <w:tcPr>
            <w:tcW w:w="2614" w:type="pct"/>
            <w:vMerge/>
            <w:tcBorders>
              <w:left w:val="single" w:sz="8" w:space="0" w:color="auto"/>
              <w:bottom w:val="double" w:sz="6" w:space="0" w:color="auto"/>
              <w:right w:val="single" w:sz="8" w:space="0" w:color="auto"/>
            </w:tcBorders>
            <w:shd w:val="clear" w:color="000000" w:fill="A5A5A5"/>
          </w:tcPr>
          <w:p w:rsidR="001670EC" w:rsidRPr="003311B5" w:rsidRDefault="001670EC">
            <w:pPr>
              <w:rPr>
                <w:color w:val="000000"/>
              </w:rPr>
            </w:pPr>
          </w:p>
        </w:tc>
        <w:tc>
          <w:tcPr>
            <w:tcW w:w="357" w:type="pct"/>
            <w:tcBorders>
              <w:top w:val="nil"/>
              <w:left w:val="nil"/>
              <w:bottom w:val="double" w:sz="6" w:space="0" w:color="auto"/>
              <w:right w:val="single" w:sz="4" w:space="0" w:color="auto"/>
            </w:tcBorders>
            <w:shd w:val="clear" w:color="000000" w:fill="A5A5A5"/>
            <w:noWrap/>
          </w:tcPr>
          <w:p w:rsidR="001670EC" w:rsidRPr="00680D98" w:rsidRDefault="001670EC">
            <w:pPr>
              <w:jc w:val="center"/>
              <w:rPr>
                <w:b/>
                <w:bCs/>
                <w:color w:val="000000"/>
                <w:sz w:val="18"/>
                <w:szCs w:val="18"/>
              </w:rPr>
            </w:pPr>
            <w:r w:rsidRPr="00680D98">
              <w:rPr>
                <w:b/>
                <w:bCs/>
                <w:color w:val="000000"/>
                <w:sz w:val="18"/>
                <w:szCs w:val="18"/>
              </w:rPr>
              <w:t>One</w:t>
            </w:r>
          </w:p>
        </w:tc>
        <w:tc>
          <w:tcPr>
            <w:tcW w:w="357" w:type="pct"/>
            <w:tcBorders>
              <w:top w:val="nil"/>
              <w:left w:val="nil"/>
              <w:bottom w:val="double" w:sz="6" w:space="0" w:color="auto"/>
              <w:right w:val="single" w:sz="4" w:space="0" w:color="auto"/>
            </w:tcBorders>
            <w:shd w:val="clear" w:color="000000" w:fill="A5A5A5"/>
            <w:noWrap/>
          </w:tcPr>
          <w:p w:rsidR="001670EC" w:rsidRPr="00680D98" w:rsidRDefault="001670EC">
            <w:pPr>
              <w:jc w:val="center"/>
              <w:rPr>
                <w:b/>
                <w:bCs/>
                <w:color w:val="000000"/>
                <w:sz w:val="18"/>
                <w:szCs w:val="18"/>
              </w:rPr>
            </w:pPr>
            <w:r w:rsidRPr="00680D98">
              <w:rPr>
                <w:b/>
                <w:bCs/>
                <w:color w:val="000000"/>
                <w:sz w:val="18"/>
                <w:szCs w:val="18"/>
              </w:rPr>
              <w:t>Two</w:t>
            </w:r>
          </w:p>
        </w:tc>
        <w:tc>
          <w:tcPr>
            <w:tcW w:w="404" w:type="pct"/>
            <w:tcBorders>
              <w:top w:val="nil"/>
              <w:left w:val="nil"/>
              <w:bottom w:val="double" w:sz="6" w:space="0" w:color="auto"/>
              <w:right w:val="single" w:sz="8" w:space="0" w:color="auto"/>
            </w:tcBorders>
            <w:shd w:val="clear" w:color="000000" w:fill="A5A5A5"/>
            <w:noWrap/>
          </w:tcPr>
          <w:p w:rsidR="001670EC" w:rsidRPr="00680D98" w:rsidRDefault="001670EC">
            <w:pPr>
              <w:jc w:val="center"/>
              <w:rPr>
                <w:b/>
                <w:bCs/>
                <w:color w:val="000000"/>
                <w:sz w:val="18"/>
                <w:szCs w:val="18"/>
              </w:rPr>
            </w:pPr>
            <w:r w:rsidRPr="00680D98">
              <w:rPr>
                <w:b/>
                <w:bCs/>
                <w:color w:val="000000"/>
                <w:sz w:val="18"/>
                <w:szCs w:val="18"/>
              </w:rPr>
              <w:t>Three</w:t>
            </w:r>
          </w:p>
        </w:tc>
        <w:tc>
          <w:tcPr>
            <w:tcW w:w="1267" w:type="pct"/>
            <w:vMerge/>
            <w:tcBorders>
              <w:top w:val="single" w:sz="8" w:space="0" w:color="auto"/>
              <w:left w:val="single" w:sz="8" w:space="0" w:color="auto"/>
              <w:bottom w:val="double" w:sz="6" w:space="0" w:color="000000"/>
            </w:tcBorders>
          </w:tcPr>
          <w:p w:rsidR="001670EC" w:rsidRPr="00680D98" w:rsidRDefault="001670EC">
            <w:pPr>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nil"/>
            </w:tcBorders>
            <w:shd w:val="clear" w:color="000000" w:fill="FFFFFF"/>
          </w:tcPr>
          <w:p w:rsidR="001670EC" w:rsidRPr="00680D98" w:rsidRDefault="001670EC">
            <w:pPr>
              <w:jc w:val="center"/>
              <w:rPr>
                <w:b/>
                <w:bCs/>
                <w:color w:val="000000"/>
                <w:sz w:val="18"/>
                <w:szCs w:val="18"/>
              </w:rPr>
            </w:pPr>
            <w:r w:rsidRPr="00680D98">
              <w:rPr>
                <w:b/>
                <w:bCs/>
                <w:color w:val="000000"/>
                <w:sz w:val="18"/>
                <w:szCs w:val="18"/>
              </w:rPr>
              <w:t>Prevention Agenda Indicators</w:t>
            </w:r>
          </w:p>
        </w:tc>
        <w:tc>
          <w:tcPr>
            <w:tcW w:w="2386" w:type="pct"/>
            <w:gridSpan w:val="4"/>
            <w:tcBorders>
              <w:top w:val="single" w:sz="4" w:space="0" w:color="auto"/>
              <w:left w:val="single" w:sz="8" w:space="0" w:color="auto"/>
              <w:bottom w:val="single" w:sz="4" w:space="0" w:color="auto"/>
            </w:tcBorders>
            <w:shd w:val="clear" w:color="000000" w:fill="FFFFFF"/>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59"/>
        </w:trPr>
        <w:tc>
          <w:tcPr>
            <w:tcW w:w="2614" w:type="pct"/>
            <w:tcBorders>
              <w:top w:val="nil"/>
              <w:left w:val="single" w:sz="8" w:space="0" w:color="auto"/>
              <w:bottom w:val="single" w:sz="4" w:space="0" w:color="BFBFBF"/>
              <w:right w:val="nil"/>
            </w:tcBorders>
            <w:shd w:val="clear" w:color="000000" w:fill="FFFFFF"/>
          </w:tcPr>
          <w:p w:rsidR="001670EC" w:rsidRPr="00680D98" w:rsidRDefault="001670EC">
            <w:pPr>
              <w:rPr>
                <w:color w:val="000000"/>
                <w:sz w:val="17"/>
                <w:szCs w:val="17"/>
              </w:rPr>
            </w:pPr>
            <w:r w:rsidRPr="00680D98">
              <w:rPr>
                <w:color w:val="000000"/>
                <w:sz w:val="17"/>
                <w:szCs w:val="17"/>
              </w:rPr>
              <w:t>1. Percent of Adults Binge Drinking within the Last Month, '08/09</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19.7%</w:t>
            </w:r>
          </w:p>
        </w:tc>
      </w:tr>
      <w:tr w:rsidR="001670EC" w:rsidRPr="00680D98" w:rsidTr="00622A7D">
        <w:trPr>
          <w:trHeight w:val="9"/>
        </w:trPr>
        <w:tc>
          <w:tcPr>
            <w:tcW w:w="2614" w:type="pct"/>
            <w:tcBorders>
              <w:top w:val="nil"/>
              <w:left w:val="single" w:sz="8" w:space="0" w:color="auto"/>
              <w:bottom w:val="single" w:sz="4" w:space="0" w:color="BFBFBF"/>
              <w:right w:val="nil"/>
            </w:tcBorders>
            <w:shd w:val="clear" w:color="000000" w:fill="FFFFFF"/>
          </w:tcPr>
          <w:p w:rsidR="001670EC" w:rsidRPr="00680D98" w:rsidRDefault="001670EC">
            <w:pPr>
              <w:rPr>
                <w:color w:val="000000"/>
                <w:sz w:val="17"/>
                <w:szCs w:val="17"/>
              </w:rPr>
            </w:pPr>
            <w:r w:rsidRPr="00680D98">
              <w:rPr>
                <w:color w:val="000000"/>
                <w:sz w:val="17"/>
                <w:szCs w:val="17"/>
              </w:rPr>
              <w:t>2. Percent of Adults with Poor Mental Health (14 or More Days) in the Last Month, '08/09</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nil"/>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single" w:sz="4" w:space="0" w:color="BFBFBF"/>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14.2%</w:t>
            </w:r>
          </w:p>
        </w:tc>
      </w:tr>
      <w:tr w:rsidR="001670EC" w:rsidRPr="00680D98" w:rsidTr="00622A7D">
        <w:trPr>
          <w:trHeight w:val="9"/>
        </w:trPr>
        <w:tc>
          <w:tcPr>
            <w:tcW w:w="2614" w:type="pct"/>
            <w:tcBorders>
              <w:top w:val="nil"/>
              <w:left w:val="single" w:sz="8" w:space="0" w:color="auto"/>
              <w:bottom w:val="single" w:sz="8" w:space="0" w:color="auto"/>
              <w:right w:val="nil"/>
            </w:tcBorders>
          </w:tcPr>
          <w:p w:rsidR="001670EC" w:rsidRPr="00680D98" w:rsidRDefault="001670EC">
            <w:pPr>
              <w:rPr>
                <w:color w:val="000000"/>
                <w:sz w:val="17"/>
                <w:szCs w:val="17"/>
              </w:rPr>
            </w:pPr>
            <w:r w:rsidRPr="00680D98">
              <w:rPr>
                <w:color w:val="000000"/>
                <w:sz w:val="17"/>
                <w:szCs w:val="17"/>
              </w:rPr>
              <w:t>3. Rate of Age Adjusted Suicides per 100,000 Adjusted Population, '08 - 10</w:t>
            </w:r>
          </w:p>
        </w:tc>
        <w:tc>
          <w:tcPr>
            <w:tcW w:w="357" w:type="pct"/>
            <w:tcBorders>
              <w:top w:val="nil"/>
              <w:left w:val="single" w:sz="8" w:space="0" w:color="auto"/>
              <w:bottom w:val="single" w:sz="8"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11</w:t>
            </w:r>
          </w:p>
        </w:tc>
        <w:tc>
          <w:tcPr>
            <w:tcW w:w="357" w:type="pct"/>
            <w:tcBorders>
              <w:top w:val="nil"/>
              <w:left w:val="nil"/>
              <w:bottom w:val="single" w:sz="8"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8" w:space="0" w:color="auto"/>
              <w:right w:val="nil"/>
            </w:tcBorders>
            <w:shd w:val="clear" w:color="000000" w:fill="FFFFFF"/>
            <w:noWrap/>
          </w:tcPr>
          <w:p w:rsidR="001670EC" w:rsidRPr="00680D98" w:rsidRDefault="001670EC">
            <w:pPr>
              <w:jc w:val="right"/>
              <w:rPr>
                <w:color w:val="000000"/>
                <w:sz w:val="18"/>
                <w:szCs w:val="18"/>
              </w:rPr>
            </w:pPr>
            <w:r w:rsidRPr="00680D98">
              <w:rPr>
                <w:color w:val="000000"/>
                <w:sz w:val="18"/>
                <w:szCs w:val="18"/>
              </w:rPr>
              <w:t>7</w:t>
            </w:r>
          </w:p>
        </w:tc>
        <w:tc>
          <w:tcPr>
            <w:tcW w:w="1267" w:type="pct"/>
            <w:tcBorders>
              <w:top w:val="single" w:sz="4" w:space="0" w:color="BFBFBF"/>
              <w:left w:val="single" w:sz="8" w:space="0" w:color="auto"/>
              <w:bottom w:val="single" w:sz="8"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10.3</w:t>
            </w:r>
          </w:p>
        </w:tc>
      </w:tr>
      <w:tr w:rsidR="001670EC" w:rsidRPr="00680D98" w:rsidTr="00622A7D">
        <w:trPr>
          <w:trHeight w:val="59"/>
        </w:trPr>
        <w:tc>
          <w:tcPr>
            <w:tcW w:w="5000" w:type="pct"/>
            <w:gridSpan w:val="5"/>
            <w:tcBorders>
              <w:top w:val="single" w:sz="8" w:space="0" w:color="auto"/>
              <w:left w:val="single" w:sz="8" w:space="0" w:color="auto"/>
              <w:bottom w:val="single" w:sz="8" w:space="0" w:color="auto"/>
              <w:right w:val="single" w:sz="8" w:space="0" w:color="auto"/>
            </w:tcBorders>
            <w:shd w:val="clear" w:color="000000" w:fill="BFBFBF"/>
          </w:tcPr>
          <w:p w:rsidR="001670EC" w:rsidRDefault="001670EC" w:rsidP="0031631C">
            <w:pPr>
              <w:jc w:val="center"/>
              <w:rPr>
                <w:b/>
                <w:bCs/>
                <w:color w:val="000000"/>
                <w:sz w:val="18"/>
                <w:szCs w:val="18"/>
              </w:rPr>
            </w:pPr>
            <w:r w:rsidRPr="00680D98">
              <w:rPr>
                <w:b/>
                <w:bCs/>
                <w:color w:val="000000"/>
                <w:sz w:val="18"/>
                <w:szCs w:val="18"/>
              </w:rPr>
              <w:t>Quartile Summary for Prevention Agenda Indicators</w:t>
            </w:r>
          </w:p>
          <w:p w:rsidR="001670EC" w:rsidRPr="00680D98" w:rsidRDefault="001670EC" w:rsidP="0031631C">
            <w:pPr>
              <w:jc w:val="center"/>
              <w:rPr>
                <w:b/>
                <w:bCs/>
                <w:color w:val="000000"/>
                <w:sz w:val="18"/>
                <w:szCs w:val="18"/>
              </w:rPr>
            </w:pPr>
          </w:p>
        </w:tc>
      </w:tr>
      <w:tr w:rsidR="001670EC" w:rsidRPr="00680D98" w:rsidTr="00622A7D">
        <w:trPr>
          <w:trHeight w:val="59"/>
        </w:trPr>
        <w:tc>
          <w:tcPr>
            <w:tcW w:w="5000" w:type="pct"/>
            <w:gridSpan w:val="5"/>
            <w:tcBorders>
              <w:top w:val="single" w:sz="8" w:space="0" w:color="auto"/>
              <w:left w:val="single" w:sz="8" w:space="0" w:color="auto"/>
              <w:bottom w:val="single" w:sz="4" w:space="0" w:color="auto"/>
              <w:right w:val="single" w:sz="4" w:space="0" w:color="auto"/>
            </w:tcBorders>
            <w:shd w:val="clear" w:color="000000" w:fill="FFFFFF"/>
          </w:tcPr>
          <w:p w:rsidR="001670EC" w:rsidRPr="00851356" w:rsidRDefault="001670EC">
            <w:pPr>
              <w:rPr>
                <w:b/>
                <w:bCs/>
                <w:color w:val="000000"/>
                <w:sz w:val="18"/>
                <w:szCs w:val="18"/>
              </w:rPr>
            </w:pPr>
            <w:r w:rsidRPr="00680D98">
              <w:rPr>
                <w:b/>
                <w:bCs/>
                <w:color w:val="000000"/>
                <w:sz w:val="18"/>
                <w:szCs w:val="18"/>
              </w:rPr>
              <w:t>Other Indicator</w:t>
            </w:r>
            <w:r>
              <w:rPr>
                <w:b/>
                <w:bCs/>
                <w:color w:val="000000"/>
                <w:sz w:val="18"/>
                <w:szCs w:val="18"/>
              </w:rPr>
              <w:t>s</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 Rate of Suicides for Ages 15 - 19 per 100,000 Population Ages 15 - 19, '08 - 10</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6"/>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2. Rate of Self-inflicted Hospitalizations 10,000 Population, '08 - 10</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55</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57</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60</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10.4</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3. Rate of Self-inflicted Hospitalizations for Ages 15 - 19 per 10,000 Population Ages 15 - 19, '08 - 10</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7</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23.9</w:t>
            </w:r>
          </w:p>
        </w:tc>
      </w:tr>
      <w:tr w:rsidR="001670EC" w:rsidRPr="00680D98" w:rsidTr="00622A7D">
        <w:trPr>
          <w:trHeight w:val="5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4. Rate of Cirrhosis Deaths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7</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10.3</w:t>
            </w:r>
          </w:p>
        </w:tc>
      </w:tr>
      <w:tr w:rsidR="001670EC" w:rsidRPr="00680D98" w:rsidTr="00622A7D">
        <w:trPr>
          <w:trHeight w:val="5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5. Rate of Cirrhosis Hospitalizations per 10,000 Population, '08 - 10</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13</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15</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13</w:t>
            </w:r>
          </w:p>
        </w:tc>
        <w:tc>
          <w:tcPr>
            <w:tcW w:w="1267" w:type="pct"/>
            <w:tcBorders>
              <w:top w:val="single" w:sz="4" w:space="0" w:color="BFBFBF"/>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2.5</w:t>
            </w:r>
          </w:p>
        </w:tc>
      </w:tr>
      <w:tr w:rsidR="001670EC" w:rsidRPr="00680D98" w:rsidTr="00622A7D">
        <w:trPr>
          <w:trHeight w:val="6"/>
        </w:trPr>
        <w:tc>
          <w:tcPr>
            <w:tcW w:w="2614" w:type="pct"/>
            <w:tcBorders>
              <w:top w:val="nil"/>
              <w:left w:val="single" w:sz="8" w:space="0" w:color="auto"/>
              <w:bottom w:val="single" w:sz="4" w:space="0" w:color="auto"/>
              <w:right w:val="nil"/>
            </w:tcBorders>
          </w:tcPr>
          <w:p w:rsidR="001670EC" w:rsidRPr="00680D98" w:rsidRDefault="001670EC">
            <w:pPr>
              <w:rPr>
                <w:color w:val="000000"/>
                <w:sz w:val="17"/>
                <w:szCs w:val="17"/>
              </w:rPr>
            </w:pPr>
            <w:r w:rsidRPr="00680D98">
              <w:rPr>
                <w:color w:val="000000"/>
                <w:sz w:val="17"/>
                <w:szCs w:val="17"/>
              </w:rPr>
              <w:t>6. Rate of Alcohol-Related Accidents per 100,000 Population, '09 - 11</w:t>
            </w:r>
          </w:p>
        </w:tc>
        <w:tc>
          <w:tcPr>
            <w:tcW w:w="357" w:type="pct"/>
            <w:tcBorders>
              <w:top w:val="nil"/>
              <w:left w:val="single" w:sz="8" w:space="0" w:color="auto"/>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64</w:t>
            </w:r>
          </w:p>
        </w:tc>
        <w:tc>
          <w:tcPr>
            <w:tcW w:w="357" w:type="pct"/>
            <w:tcBorders>
              <w:top w:val="nil"/>
              <w:left w:val="nil"/>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50</w:t>
            </w:r>
          </w:p>
        </w:tc>
        <w:tc>
          <w:tcPr>
            <w:tcW w:w="404" w:type="pct"/>
            <w:tcBorders>
              <w:top w:val="nil"/>
              <w:left w:val="nil"/>
              <w:bottom w:val="single" w:sz="4" w:space="0" w:color="auto"/>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53</w:t>
            </w:r>
          </w:p>
        </w:tc>
        <w:tc>
          <w:tcPr>
            <w:tcW w:w="1267" w:type="pct"/>
            <w:tcBorders>
              <w:top w:val="single" w:sz="4" w:space="0" w:color="BFBFBF"/>
              <w:left w:val="nil"/>
              <w:bottom w:val="single" w:sz="4" w:space="0" w:color="auto"/>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100.8</w:t>
            </w:r>
          </w:p>
        </w:tc>
      </w:tr>
      <w:tr w:rsidR="001670EC" w:rsidRPr="00680D98" w:rsidTr="00622A7D">
        <w:trPr>
          <w:trHeight w:val="6"/>
        </w:trPr>
        <w:tc>
          <w:tcPr>
            <w:tcW w:w="2614" w:type="pct"/>
            <w:tcBorders>
              <w:top w:val="single" w:sz="4" w:space="0" w:color="auto"/>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7. Percentage of Alcohol-Related Crashes to Total Accidents, 09 - 11</w:t>
            </w:r>
          </w:p>
        </w:tc>
        <w:tc>
          <w:tcPr>
            <w:tcW w:w="357" w:type="pct"/>
            <w:tcBorders>
              <w:top w:val="single" w:sz="4" w:space="0" w:color="auto"/>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6.0%</w:t>
            </w:r>
          </w:p>
        </w:tc>
        <w:tc>
          <w:tcPr>
            <w:tcW w:w="357" w:type="pct"/>
            <w:tcBorders>
              <w:top w:val="single" w:sz="4" w:space="0" w:color="auto"/>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5.0%</w:t>
            </w:r>
          </w:p>
        </w:tc>
        <w:tc>
          <w:tcPr>
            <w:tcW w:w="404" w:type="pct"/>
            <w:tcBorders>
              <w:top w:val="single" w:sz="4" w:space="0" w:color="auto"/>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5.9%</w:t>
            </w:r>
          </w:p>
        </w:tc>
        <w:tc>
          <w:tcPr>
            <w:tcW w:w="1267" w:type="pct"/>
            <w:tcBorders>
              <w:top w:val="single" w:sz="4" w:space="0" w:color="auto"/>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5.6%</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8. Rate of Alcohol-Related Injuries and Deaths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37</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46</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32</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69.4</w:t>
            </w:r>
          </w:p>
        </w:tc>
      </w:tr>
      <w:tr w:rsidR="001670EC" w:rsidRPr="00680D98" w:rsidTr="00622A7D">
        <w:trPr>
          <w:trHeight w:val="9"/>
        </w:trPr>
        <w:tc>
          <w:tcPr>
            <w:tcW w:w="2614" w:type="pct"/>
            <w:tcBorders>
              <w:top w:val="nil"/>
              <w:left w:val="single" w:sz="8" w:space="0" w:color="auto"/>
              <w:bottom w:val="single" w:sz="8" w:space="0" w:color="D8D8D8"/>
              <w:right w:val="nil"/>
            </w:tcBorders>
          </w:tcPr>
          <w:p w:rsidR="001670EC" w:rsidRPr="00680D98" w:rsidRDefault="001670EC">
            <w:pPr>
              <w:rPr>
                <w:color w:val="000000"/>
                <w:sz w:val="17"/>
                <w:szCs w:val="17"/>
              </w:rPr>
            </w:pPr>
            <w:r w:rsidRPr="00680D98">
              <w:rPr>
                <w:color w:val="000000"/>
                <w:sz w:val="17"/>
                <w:szCs w:val="17"/>
              </w:rPr>
              <w:t>9. Rate of Drug-Related Hospitalizations per 10,000 Population, '08 - 10</w:t>
            </w:r>
          </w:p>
        </w:tc>
        <w:tc>
          <w:tcPr>
            <w:tcW w:w="357" w:type="pct"/>
            <w:tcBorders>
              <w:top w:val="nil"/>
              <w:left w:val="single" w:sz="8" w:space="0" w:color="auto"/>
              <w:bottom w:val="single" w:sz="8" w:space="0" w:color="D8D8D8"/>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108</w:t>
            </w:r>
          </w:p>
        </w:tc>
        <w:tc>
          <w:tcPr>
            <w:tcW w:w="357" w:type="pct"/>
            <w:tcBorders>
              <w:top w:val="nil"/>
              <w:left w:val="nil"/>
              <w:bottom w:val="single" w:sz="8" w:space="0" w:color="D8D8D8"/>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121</w:t>
            </w:r>
          </w:p>
        </w:tc>
        <w:tc>
          <w:tcPr>
            <w:tcW w:w="404" w:type="pct"/>
            <w:tcBorders>
              <w:top w:val="nil"/>
              <w:left w:val="nil"/>
              <w:bottom w:val="single" w:sz="8" w:space="0" w:color="D8D8D8"/>
              <w:right w:val="single" w:sz="8"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117</w:t>
            </w:r>
          </w:p>
        </w:tc>
        <w:tc>
          <w:tcPr>
            <w:tcW w:w="1267" w:type="pct"/>
            <w:tcBorders>
              <w:top w:val="nil"/>
              <w:left w:val="nil"/>
              <w:bottom w:val="single" w:sz="8" w:space="0" w:color="D8D8D8"/>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20.9</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10. Rate of People Served in Mental Health Outpatient Settings Ages 8 and Below per 100,000 Population Ages 8 and Below,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774.0</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11. Rate of People Served in Mental Health Outpatient Settings Ages 9 - 17 per 100,000 Population Ages 9 - 17,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2,418.0</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12. Rate of People Served in Mental Health Outpatient Settings Ages 18 - 64 per 100,000 Population Ages 18 - 64,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1,098.0</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13. Rate of People Served in Mental Health Outpatient Settings Ages 65 Plus per 100,000 Population Ages 65 Plus,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181.0</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14. Rate of People Served in ED for Mental Health Ages 8 and Below per 100,000 Population Ages 8 and Below,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15. Rate of People Served in ED for Mental Health Ages 9 - 17 per 100,000 Population Ages 9 - 17,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15.9</w:t>
            </w:r>
          </w:p>
        </w:tc>
      </w:tr>
      <w:tr w:rsidR="001670EC" w:rsidRPr="00680D98" w:rsidTr="00622A7D">
        <w:trPr>
          <w:trHeight w:val="9"/>
        </w:trPr>
        <w:tc>
          <w:tcPr>
            <w:tcW w:w="2614" w:type="pct"/>
            <w:tcBorders>
              <w:top w:val="nil"/>
              <w:left w:val="single" w:sz="8" w:space="0" w:color="auto"/>
              <w:bottom w:val="single" w:sz="4" w:space="0" w:color="BFBFBF"/>
              <w:right w:val="nil"/>
            </w:tcBorders>
          </w:tcPr>
          <w:p w:rsidR="001670EC" w:rsidRPr="00680D98" w:rsidRDefault="001670EC">
            <w:pPr>
              <w:rPr>
                <w:color w:val="000000"/>
                <w:sz w:val="17"/>
                <w:szCs w:val="17"/>
              </w:rPr>
            </w:pPr>
            <w:r w:rsidRPr="00680D98">
              <w:rPr>
                <w:color w:val="000000"/>
                <w:sz w:val="17"/>
                <w:szCs w:val="17"/>
              </w:rPr>
              <w:t>16. Rate of People Served in ED for Mental Health Ages 18 - 64 per 100,000 Population Ages 18 - 64, 2011</w:t>
            </w:r>
          </w:p>
        </w:tc>
        <w:tc>
          <w:tcPr>
            <w:tcW w:w="357" w:type="pct"/>
            <w:tcBorders>
              <w:top w:val="nil"/>
              <w:left w:val="single" w:sz="8" w:space="0" w:color="auto"/>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tcPr>
          <w:p w:rsidR="001670EC" w:rsidRPr="00680D98" w:rsidRDefault="001670EC">
            <w:pPr>
              <w:jc w:val="right"/>
              <w:rPr>
                <w:color w:val="000000"/>
                <w:sz w:val="18"/>
                <w:szCs w:val="18"/>
              </w:rPr>
            </w:pPr>
            <w:r w:rsidRPr="00680D98">
              <w:rPr>
                <w:color w:val="000000"/>
                <w:sz w:val="18"/>
                <w:szCs w:val="18"/>
              </w:rPr>
              <w:t>8.7</w:t>
            </w:r>
          </w:p>
        </w:tc>
      </w:tr>
      <w:tr w:rsidR="001670EC" w:rsidRPr="00680D98" w:rsidTr="00622A7D">
        <w:trPr>
          <w:trHeight w:val="9"/>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17.Rate of People Served in ED for Mental Health Ages 65 Plus per 100,000 Population Ages 65 Plus, 2011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9"/>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18. Percentage of Children Ages 9 - 17 with Serious Emotional Disturbances (SED) Served to Total SED Children Ages 9 - 17, 2011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20.2%</w:t>
            </w:r>
          </w:p>
        </w:tc>
      </w:tr>
      <w:tr w:rsidR="001670EC" w:rsidRPr="00680D98" w:rsidTr="00622A7D">
        <w:trPr>
          <w:trHeight w:val="9"/>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19. Percentage of Adults Ages 18 - 64 with Serious Mental Illness (SMI) Served, 2011</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23.0%</w:t>
            </w:r>
          </w:p>
        </w:tc>
      </w:tr>
      <w:tr w:rsidR="001670EC" w:rsidRPr="00680D98" w:rsidTr="00622A7D">
        <w:trPr>
          <w:trHeight w:val="9"/>
        </w:trPr>
        <w:tc>
          <w:tcPr>
            <w:tcW w:w="2614" w:type="pct"/>
            <w:tcBorders>
              <w:top w:val="nil"/>
              <w:left w:val="single" w:sz="8" w:space="0" w:color="auto"/>
              <w:bottom w:val="single" w:sz="4" w:space="0" w:color="auto"/>
              <w:right w:val="nil"/>
            </w:tcBorders>
            <w:vAlign w:val="bottom"/>
          </w:tcPr>
          <w:p w:rsidR="001670EC" w:rsidRPr="00680D98" w:rsidRDefault="001670EC">
            <w:pPr>
              <w:rPr>
                <w:color w:val="000000"/>
                <w:sz w:val="17"/>
                <w:szCs w:val="17"/>
              </w:rPr>
            </w:pPr>
            <w:r w:rsidRPr="00680D98">
              <w:rPr>
                <w:color w:val="000000"/>
                <w:sz w:val="17"/>
                <w:szCs w:val="17"/>
              </w:rPr>
              <w:t>20. Percentage of Adults Ages 65 Plus with Serious Mental Illness (SMI) Served, 2011</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35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404" w:type="pct"/>
            <w:tcBorders>
              <w:top w:val="nil"/>
              <w:left w:val="nil"/>
              <w:bottom w:val="single" w:sz="4" w:space="0" w:color="auto"/>
              <w:right w:val="single" w:sz="8" w:space="0" w:color="auto"/>
            </w:tcBorders>
            <w:shd w:val="clear" w:color="000000" w:fill="FFFFFF"/>
            <w:noWrap/>
            <w:vAlign w:val="bottom"/>
          </w:tcPr>
          <w:p w:rsidR="001670EC" w:rsidRPr="00680D98" w:rsidRDefault="001670EC">
            <w:pPr>
              <w:rPr>
                <w:color w:val="000000"/>
                <w:sz w:val="18"/>
                <w:szCs w:val="18"/>
              </w:rPr>
            </w:pPr>
            <w:r w:rsidRPr="00680D98">
              <w:rPr>
                <w:color w:val="000000"/>
                <w:sz w:val="18"/>
                <w:szCs w:val="18"/>
              </w:rPr>
              <w:t> </w:t>
            </w:r>
          </w:p>
        </w:tc>
        <w:tc>
          <w:tcPr>
            <w:tcW w:w="126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6.3%</w:t>
            </w:r>
          </w:p>
        </w:tc>
      </w:tr>
      <w:tr w:rsidR="001670EC" w:rsidRPr="00680D98" w:rsidTr="00622A7D">
        <w:trPr>
          <w:trHeight w:val="59"/>
        </w:trPr>
        <w:tc>
          <w:tcPr>
            <w:tcW w:w="5000" w:type="pct"/>
            <w:gridSpan w:val="5"/>
            <w:tcBorders>
              <w:top w:val="single" w:sz="4" w:space="0" w:color="auto"/>
              <w:left w:val="single" w:sz="8" w:space="0" w:color="auto"/>
              <w:bottom w:val="double" w:sz="6" w:space="0" w:color="auto"/>
              <w:right w:val="single" w:sz="4" w:space="0" w:color="auto"/>
            </w:tcBorders>
            <w:shd w:val="clear" w:color="000000" w:fill="BFBFBF"/>
            <w:vAlign w:val="bottom"/>
          </w:tcPr>
          <w:p w:rsidR="001670EC" w:rsidRPr="00680D98" w:rsidRDefault="001670EC" w:rsidP="00622A7D">
            <w:pPr>
              <w:jc w:val="center"/>
              <w:rPr>
                <w:b/>
                <w:bCs/>
                <w:color w:val="000000"/>
                <w:sz w:val="17"/>
                <w:szCs w:val="17"/>
              </w:rPr>
            </w:pPr>
            <w:r w:rsidRPr="00680D98">
              <w:rPr>
                <w:b/>
                <w:bCs/>
                <w:color w:val="000000"/>
                <w:sz w:val="17"/>
                <w:szCs w:val="17"/>
              </w:rPr>
              <w:t>Quartile Summary for Other Indicators</w:t>
            </w:r>
          </w:p>
        </w:tc>
      </w:tr>
      <w:tr w:rsidR="001670EC" w:rsidRPr="00680D98" w:rsidTr="00622A7D">
        <w:trPr>
          <w:trHeight w:val="5"/>
        </w:trPr>
        <w:tc>
          <w:tcPr>
            <w:tcW w:w="5000" w:type="pct"/>
            <w:gridSpan w:val="5"/>
            <w:tcBorders>
              <w:top w:val="double" w:sz="6" w:space="0" w:color="auto"/>
              <w:left w:val="single" w:sz="8" w:space="0" w:color="auto"/>
              <w:bottom w:val="single" w:sz="8" w:space="0" w:color="auto"/>
              <w:right w:val="single" w:sz="4" w:space="0" w:color="auto"/>
            </w:tcBorders>
            <w:shd w:val="clear" w:color="000000" w:fill="A5A5A5"/>
            <w:vAlign w:val="bottom"/>
          </w:tcPr>
          <w:p w:rsidR="001670EC" w:rsidRPr="00680D98" w:rsidRDefault="001670EC" w:rsidP="0031631C">
            <w:pPr>
              <w:jc w:val="center"/>
              <w:rPr>
                <w:b/>
                <w:bCs/>
                <w:color w:val="000000"/>
                <w:sz w:val="17"/>
                <w:szCs w:val="17"/>
              </w:rPr>
            </w:pPr>
            <w:r w:rsidRPr="00680D98">
              <w:rPr>
                <w:b/>
                <w:bCs/>
                <w:color w:val="000000"/>
                <w:sz w:val="17"/>
                <w:szCs w:val="17"/>
              </w:rPr>
              <w:t>Quartile Summary for Focus Area: Prevent Substance Abuse and Other Mental, Emotional, and Behavioral Disorders</w:t>
            </w:r>
          </w:p>
        </w:tc>
      </w:tr>
      <w:tr w:rsidR="001670EC" w:rsidRPr="00680D98" w:rsidTr="00622A7D">
        <w:trPr>
          <w:trHeight w:val="925"/>
        </w:trPr>
        <w:tc>
          <w:tcPr>
            <w:tcW w:w="2614" w:type="pct"/>
            <w:vMerge w:val="restart"/>
            <w:tcBorders>
              <w:top w:val="single" w:sz="8" w:space="0" w:color="auto"/>
              <w:left w:val="single" w:sz="8" w:space="0" w:color="auto"/>
              <w:right w:val="single" w:sz="8" w:space="0" w:color="auto"/>
            </w:tcBorders>
            <w:shd w:val="clear" w:color="000000" w:fill="A5A5A5"/>
            <w:vAlign w:val="bottom"/>
          </w:tcPr>
          <w:p w:rsidR="001670EC" w:rsidRPr="00680D98" w:rsidRDefault="001670EC" w:rsidP="00622A7D">
            <w:pPr>
              <w:rPr>
                <w:b/>
                <w:bCs/>
                <w:color w:val="000000"/>
                <w:sz w:val="17"/>
                <w:szCs w:val="17"/>
              </w:rPr>
            </w:pPr>
          </w:p>
          <w:p w:rsidR="001670EC" w:rsidRPr="00680D98" w:rsidRDefault="001670EC" w:rsidP="00B97B8E">
            <w:pPr>
              <w:rPr>
                <w:b/>
                <w:bCs/>
                <w:color w:val="000000"/>
                <w:sz w:val="17"/>
                <w:szCs w:val="17"/>
              </w:rPr>
            </w:pPr>
            <w:r w:rsidRPr="00680D98">
              <w:rPr>
                <w:color w:val="000000"/>
                <w:sz w:val="17"/>
                <w:szCs w:val="17"/>
              </w:rPr>
              <w:t> </w:t>
            </w:r>
            <w:r w:rsidRPr="00622A7D">
              <w:rPr>
                <w:b/>
                <w:bCs/>
                <w:color w:val="000000"/>
              </w:rPr>
              <w:t>Other Non-Prevention Agenda Indicators</w:t>
            </w:r>
          </w:p>
        </w:tc>
        <w:tc>
          <w:tcPr>
            <w:tcW w:w="1118" w:type="pct"/>
            <w:gridSpan w:val="3"/>
            <w:tcBorders>
              <w:top w:val="single" w:sz="8" w:space="0" w:color="auto"/>
              <w:left w:val="nil"/>
              <w:right w:val="single" w:sz="8" w:space="0" w:color="000000"/>
            </w:tcBorders>
            <w:shd w:val="clear" w:color="000000" w:fill="A5A5A5"/>
            <w:vAlign w:val="bottom"/>
          </w:tcPr>
          <w:p w:rsidR="001670EC" w:rsidRPr="00680D98" w:rsidRDefault="001670EC">
            <w:pPr>
              <w:jc w:val="center"/>
              <w:rPr>
                <w:b/>
                <w:bCs/>
                <w:color w:val="000000"/>
                <w:sz w:val="18"/>
                <w:szCs w:val="18"/>
              </w:rPr>
            </w:pPr>
            <w:r w:rsidRPr="00680D98">
              <w:rPr>
                <w:b/>
                <w:bCs/>
                <w:color w:val="000000"/>
                <w:sz w:val="18"/>
                <w:szCs w:val="18"/>
              </w:rPr>
              <w:t>Number Per Year</w:t>
            </w:r>
          </w:p>
          <w:p w:rsidR="001670EC" w:rsidRPr="00680D98" w:rsidRDefault="001670EC" w:rsidP="00B97B8E">
            <w:pPr>
              <w:jc w:val="center"/>
              <w:rPr>
                <w:b/>
                <w:bCs/>
                <w:color w:val="000000"/>
                <w:sz w:val="18"/>
                <w:szCs w:val="18"/>
              </w:rPr>
            </w:pPr>
            <w:r w:rsidRPr="00680D98">
              <w:rPr>
                <w:b/>
                <w:bCs/>
                <w:color w:val="000000"/>
                <w:sz w:val="18"/>
                <w:szCs w:val="18"/>
              </w:rPr>
              <w:t>(If Available)</w:t>
            </w:r>
          </w:p>
        </w:tc>
        <w:tc>
          <w:tcPr>
            <w:tcW w:w="1267" w:type="pct"/>
            <w:vMerge w:val="restart"/>
            <w:tcBorders>
              <w:top w:val="single" w:sz="8" w:space="0" w:color="auto"/>
              <w:left w:val="single" w:sz="8" w:space="0" w:color="auto"/>
              <w:bottom w:val="single" w:sz="4" w:space="0" w:color="000000"/>
              <w:right w:val="single" w:sz="4" w:space="0" w:color="auto"/>
            </w:tcBorders>
            <w:shd w:val="clear" w:color="000000" w:fill="A5A5A5"/>
            <w:vAlign w:val="bottom"/>
          </w:tcPr>
          <w:p w:rsidR="001670EC" w:rsidRPr="00680D98" w:rsidRDefault="001670EC">
            <w:pPr>
              <w:jc w:val="center"/>
              <w:rPr>
                <w:b/>
                <w:bCs/>
                <w:color w:val="000000"/>
                <w:sz w:val="18"/>
                <w:szCs w:val="18"/>
              </w:rPr>
            </w:pPr>
            <w:r w:rsidRPr="00680D98">
              <w:rPr>
                <w:b/>
                <w:bCs/>
                <w:color w:val="000000"/>
                <w:sz w:val="18"/>
                <w:szCs w:val="18"/>
              </w:rPr>
              <w:t>Average Rate, Ratio or Percentage for the Listed Years</w:t>
            </w:r>
          </w:p>
        </w:tc>
      </w:tr>
      <w:tr w:rsidR="001670EC" w:rsidRPr="00680D98" w:rsidTr="00622A7D">
        <w:trPr>
          <w:trHeight w:val="59"/>
        </w:trPr>
        <w:tc>
          <w:tcPr>
            <w:tcW w:w="2614" w:type="pct"/>
            <w:vMerge/>
            <w:tcBorders>
              <w:left w:val="single" w:sz="8" w:space="0" w:color="auto"/>
              <w:bottom w:val="single" w:sz="4" w:space="0" w:color="auto"/>
              <w:right w:val="single" w:sz="8" w:space="0" w:color="auto"/>
            </w:tcBorders>
            <w:shd w:val="clear" w:color="000000" w:fill="A5A5A5"/>
            <w:vAlign w:val="bottom"/>
          </w:tcPr>
          <w:p w:rsidR="001670EC" w:rsidRPr="00622A7D" w:rsidRDefault="001670EC">
            <w:pPr>
              <w:rPr>
                <w:color w:val="000000"/>
              </w:rPr>
            </w:pPr>
          </w:p>
        </w:tc>
        <w:tc>
          <w:tcPr>
            <w:tcW w:w="357" w:type="pct"/>
            <w:tcBorders>
              <w:top w:val="nil"/>
              <w:left w:val="nil"/>
              <w:bottom w:val="single" w:sz="4" w:space="0" w:color="auto"/>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One</w:t>
            </w:r>
          </w:p>
        </w:tc>
        <w:tc>
          <w:tcPr>
            <w:tcW w:w="357" w:type="pct"/>
            <w:tcBorders>
              <w:top w:val="nil"/>
              <w:left w:val="nil"/>
              <w:bottom w:val="single" w:sz="4" w:space="0" w:color="auto"/>
              <w:right w:val="single" w:sz="4"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Two</w:t>
            </w:r>
          </w:p>
        </w:tc>
        <w:tc>
          <w:tcPr>
            <w:tcW w:w="404" w:type="pct"/>
            <w:tcBorders>
              <w:top w:val="nil"/>
              <w:left w:val="nil"/>
              <w:bottom w:val="single" w:sz="4" w:space="0" w:color="auto"/>
              <w:right w:val="single" w:sz="8" w:space="0" w:color="auto"/>
            </w:tcBorders>
            <w:shd w:val="clear" w:color="000000" w:fill="A5A5A5"/>
            <w:noWrap/>
            <w:vAlign w:val="bottom"/>
          </w:tcPr>
          <w:p w:rsidR="001670EC" w:rsidRPr="00680D98" w:rsidRDefault="001670EC">
            <w:pPr>
              <w:jc w:val="center"/>
              <w:rPr>
                <w:b/>
                <w:bCs/>
                <w:color w:val="000000"/>
                <w:sz w:val="18"/>
                <w:szCs w:val="18"/>
              </w:rPr>
            </w:pPr>
            <w:r w:rsidRPr="00680D98">
              <w:rPr>
                <w:b/>
                <w:bCs/>
                <w:color w:val="000000"/>
                <w:sz w:val="18"/>
                <w:szCs w:val="18"/>
              </w:rPr>
              <w:t>Three</w:t>
            </w:r>
          </w:p>
        </w:tc>
        <w:tc>
          <w:tcPr>
            <w:tcW w:w="1267" w:type="pct"/>
            <w:vMerge/>
            <w:tcBorders>
              <w:top w:val="single" w:sz="8" w:space="0" w:color="auto"/>
              <w:left w:val="single" w:sz="8" w:space="0" w:color="auto"/>
              <w:bottom w:val="single" w:sz="4" w:space="0" w:color="000000"/>
              <w:right w:val="single" w:sz="4" w:space="0" w:color="auto"/>
            </w:tcBorders>
            <w:vAlign w:val="center"/>
          </w:tcPr>
          <w:p w:rsidR="001670EC" w:rsidRPr="00680D98" w:rsidRDefault="001670EC">
            <w:pPr>
              <w:rPr>
                <w:b/>
                <w:bCs/>
                <w:color w:val="000000"/>
                <w:sz w:val="18"/>
                <w:szCs w:val="18"/>
              </w:rPr>
            </w:pPr>
          </w:p>
        </w:tc>
      </w:tr>
      <w:tr w:rsidR="001670EC" w:rsidRPr="00680D98" w:rsidTr="00622A7D">
        <w:trPr>
          <w:trHeight w:val="59"/>
        </w:trPr>
        <w:tc>
          <w:tcPr>
            <w:tcW w:w="2614" w:type="pct"/>
            <w:tcBorders>
              <w:top w:val="nil"/>
              <w:left w:val="single" w:sz="8" w:space="0" w:color="auto"/>
              <w:bottom w:val="single" w:sz="4" w:space="0" w:color="auto"/>
              <w:right w:val="single" w:sz="8" w:space="0" w:color="auto"/>
            </w:tcBorders>
            <w:shd w:val="clear" w:color="000000" w:fill="FFFFFF"/>
            <w:vAlign w:val="bottom"/>
          </w:tcPr>
          <w:p w:rsidR="001670EC" w:rsidRPr="00680D98" w:rsidRDefault="001670EC">
            <w:pPr>
              <w:jc w:val="center"/>
              <w:rPr>
                <w:b/>
                <w:bCs/>
                <w:color w:val="000000"/>
                <w:sz w:val="17"/>
                <w:szCs w:val="17"/>
              </w:rPr>
            </w:pPr>
          </w:p>
        </w:tc>
        <w:tc>
          <w:tcPr>
            <w:tcW w:w="2386" w:type="pct"/>
            <w:gridSpan w:val="4"/>
            <w:tcBorders>
              <w:top w:val="nil"/>
              <w:left w:val="nil"/>
              <w:bottom w:val="single" w:sz="4" w:space="0" w:color="auto"/>
              <w:right w:val="single" w:sz="4" w:space="0" w:color="auto"/>
            </w:tcBorders>
            <w:shd w:val="clear" w:color="000000" w:fill="FFFFFF"/>
            <w:vAlign w:val="bottom"/>
          </w:tcPr>
          <w:p w:rsidR="001670EC" w:rsidRPr="00680D98" w:rsidRDefault="001670EC">
            <w:pPr>
              <w:rPr>
                <w:color w:val="000000"/>
                <w:sz w:val="18"/>
                <w:szCs w:val="18"/>
              </w:rPr>
            </w:pPr>
            <w:r w:rsidRPr="00680D98">
              <w:rPr>
                <w:color w:val="000000"/>
                <w:sz w:val="18"/>
                <w:szCs w:val="18"/>
              </w:rPr>
              <w:t> </w:t>
            </w:r>
          </w:p>
        </w:tc>
      </w:tr>
      <w:tr w:rsidR="001670EC" w:rsidRPr="00680D98" w:rsidTr="00622A7D">
        <w:trPr>
          <w:trHeight w:val="6"/>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1. Rate of Hepatitis A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0.6</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2. Rate of Acute Hepatitis B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59"/>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3. Rate of TB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4. Rate of e. Coli 157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1.2</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 xml:space="preserve">5. Rate of Salmonella Cases per 100,000 Population, '08 - 10 </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7</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11.5</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6. Rate of Shigella Cases per 100,000 Population,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 xml:space="preserve">7. Rate of Lyme Disease Cases per 100,000 Population, '08 - 10 </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6</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10</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3</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11.5</w:t>
            </w:r>
          </w:p>
        </w:tc>
      </w:tr>
      <w:tr w:rsidR="001670EC" w:rsidRPr="00680D98" w:rsidTr="00622A7D">
        <w:trPr>
          <w:trHeight w:val="2"/>
        </w:trPr>
        <w:tc>
          <w:tcPr>
            <w:tcW w:w="2614" w:type="pct"/>
            <w:tcBorders>
              <w:top w:val="nil"/>
              <w:left w:val="single" w:sz="8" w:space="0" w:color="auto"/>
              <w:bottom w:val="single" w:sz="4" w:space="0" w:color="BFBFBF"/>
              <w:right w:val="nil"/>
            </w:tcBorders>
            <w:vAlign w:val="bottom"/>
          </w:tcPr>
          <w:p w:rsidR="001670EC" w:rsidRPr="00680D98" w:rsidRDefault="001670EC">
            <w:pPr>
              <w:rPr>
                <w:color w:val="000000"/>
                <w:sz w:val="17"/>
                <w:szCs w:val="17"/>
              </w:rPr>
            </w:pPr>
            <w:r w:rsidRPr="00680D98">
              <w:rPr>
                <w:color w:val="000000"/>
                <w:sz w:val="17"/>
                <w:szCs w:val="17"/>
              </w:rPr>
              <w:t>8. Rate of Confirmed Rabies Cases per 100,000 Population, ' 08 - 10</w:t>
            </w:r>
          </w:p>
        </w:tc>
        <w:tc>
          <w:tcPr>
            <w:tcW w:w="357" w:type="pct"/>
            <w:tcBorders>
              <w:top w:val="nil"/>
              <w:left w:val="single" w:sz="8" w:space="0" w:color="auto"/>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w:t>
            </w:r>
          </w:p>
        </w:tc>
        <w:tc>
          <w:tcPr>
            <w:tcW w:w="35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2</w:t>
            </w:r>
          </w:p>
        </w:tc>
        <w:tc>
          <w:tcPr>
            <w:tcW w:w="404" w:type="pct"/>
            <w:tcBorders>
              <w:top w:val="nil"/>
              <w:left w:val="nil"/>
              <w:bottom w:val="single" w:sz="4" w:space="0" w:color="BFBFBF"/>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BFBFBF"/>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1.8</w:t>
            </w:r>
          </w:p>
        </w:tc>
      </w:tr>
      <w:tr w:rsidR="001670EC" w:rsidRPr="00680D98" w:rsidTr="00622A7D">
        <w:trPr>
          <w:trHeight w:val="2"/>
        </w:trPr>
        <w:tc>
          <w:tcPr>
            <w:tcW w:w="2614" w:type="pct"/>
            <w:tcBorders>
              <w:top w:val="nil"/>
              <w:left w:val="single" w:sz="8" w:space="0" w:color="auto"/>
              <w:bottom w:val="single" w:sz="4" w:space="0" w:color="auto"/>
              <w:right w:val="nil"/>
            </w:tcBorders>
            <w:vAlign w:val="bottom"/>
          </w:tcPr>
          <w:p w:rsidR="001670EC" w:rsidRPr="00680D98" w:rsidRDefault="001670EC">
            <w:pPr>
              <w:rPr>
                <w:color w:val="000000"/>
                <w:sz w:val="17"/>
                <w:szCs w:val="17"/>
              </w:rPr>
            </w:pPr>
            <w:r w:rsidRPr="00680D98">
              <w:rPr>
                <w:color w:val="000000"/>
                <w:sz w:val="17"/>
                <w:szCs w:val="17"/>
              </w:rPr>
              <w:t>9. Rate of Confirmed West Nile Virus Cases (Humans, Horses, Other Animals, Mosquito Pools) per 100,000 Population, '08 - 10</w:t>
            </w:r>
          </w:p>
        </w:tc>
        <w:tc>
          <w:tcPr>
            <w:tcW w:w="357" w:type="pct"/>
            <w:tcBorders>
              <w:top w:val="nil"/>
              <w:left w:val="single" w:sz="8" w:space="0" w:color="auto"/>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35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404" w:type="pct"/>
            <w:tcBorders>
              <w:top w:val="nil"/>
              <w:left w:val="nil"/>
              <w:bottom w:val="single" w:sz="4" w:space="0" w:color="auto"/>
              <w:right w:val="single" w:sz="8"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w:t>
            </w:r>
          </w:p>
        </w:tc>
        <w:tc>
          <w:tcPr>
            <w:tcW w:w="1267" w:type="pct"/>
            <w:tcBorders>
              <w:top w:val="nil"/>
              <w:left w:val="nil"/>
              <w:bottom w:val="single" w:sz="4" w:space="0" w:color="auto"/>
              <w:right w:val="single" w:sz="4" w:space="0" w:color="auto"/>
            </w:tcBorders>
            <w:shd w:val="clear" w:color="000000" w:fill="FFFFFF"/>
            <w:noWrap/>
            <w:vAlign w:val="bottom"/>
          </w:tcPr>
          <w:p w:rsidR="001670EC" w:rsidRPr="00680D98" w:rsidRDefault="001670EC">
            <w:pPr>
              <w:jc w:val="right"/>
              <w:rPr>
                <w:color w:val="000000"/>
                <w:sz w:val="18"/>
                <w:szCs w:val="18"/>
              </w:rPr>
            </w:pPr>
            <w:r w:rsidRPr="00680D98">
              <w:rPr>
                <w:color w:val="000000"/>
                <w:sz w:val="18"/>
                <w:szCs w:val="18"/>
              </w:rPr>
              <w:t>0.0</w:t>
            </w:r>
          </w:p>
        </w:tc>
      </w:tr>
    </w:tbl>
    <w:p w:rsidR="001670EC" w:rsidRDefault="001670EC" w:rsidP="002A4C69">
      <w:pPr>
        <w:pStyle w:val="Heading2"/>
      </w:pPr>
    </w:p>
    <w:p w:rsidR="001670EC" w:rsidRDefault="001670EC" w:rsidP="00B7047E"/>
    <w:p w:rsidR="001670EC" w:rsidRDefault="001670EC" w:rsidP="00B7047E"/>
    <w:p w:rsidR="001670EC" w:rsidRDefault="001670EC" w:rsidP="00B7047E"/>
    <w:p w:rsidR="001670EC" w:rsidRDefault="001670EC" w:rsidP="00B7047E"/>
    <w:p w:rsidR="001670EC" w:rsidRDefault="001670EC" w:rsidP="00B7047E"/>
    <w:p w:rsidR="001670EC" w:rsidRDefault="001670EC" w:rsidP="00B7047E"/>
    <w:p w:rsidR="001670EC" w:rsidRDefault="001670EC" w:rsidP="00B7047E"/>
    <w:p w:rsidR="001670EC" w:rsidRDefault="001670EC" w:rsidP="00B7047E"/>
    <w:p w:rsidR="001670EC" w:rsidRDefault="001670EC" w:rsidP="00B7047E"/>
    <w:p w:rsidR="001670EC" w:rsidRPr="00B7047E" w:rsidRDefault="001670EC" w:rsidP="00B7047E"/>
    <w:p w:rsidR="001670EC" w:rsidRDefault="001670EC" w:rsidP="002A4C69">
      <w:pPr>
        <w:pStyle w:val="Heading2"/>
      </w:pPr>
      <w:r w:rsidRPr="005D1EA2">
        <w:t xml:space="preserve">Table </w:t>
      </w:r>
      <w:r>
        <w:t>7</w:t>
      </w:r>
      <w:r w:rsidRPr="005D1EA2">
        <w:t xml:space="preserve">: </w:t>
      </w:r>
      <w:r>
        <w:t>Health Indicator Measures and Benchmarks</w:t>
      </w:r>
      <w:bookmarkEnd w:id="40"/>
    </w:p>
    <w:tbl>
      <w:tblPr>
        <w:tblW w:w="0" w:type="auto"/>
        <w:tblCellMar>
          <w:left w:w="0" w:type="dxa"/>
          <w:right w:w="0" w:type="dxa"/>
        </w:tblCellMar>
        <w:tblLook w:val="00A0"/>
      </w:tblPr>
      <w:tblGrid>
        <w:gridCol w:w="4111"/>
        <w:gridCol w:w="1348"/>
        <w:gridCol w:w="510"/>
        <w:gridCol w:w="595"/>
        <w:gridCol w:w="620"/>
        <w:gridCol w:w="1114"/>
        <w:gridCol w:w="1086"/>
      </w:tblGrid>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680D98">
              <w:rPr>
                <w:color w:val="000000"/>
                <w:sz w:val="16"/>
                <w:szCs w:val="16"/>
              </w:rPr>
              <w:t> </w:t>
            </w:r>
            <w:r w:rsidRPr="003311B5">
              <w:rPr>
                <w:b/>
                <w:bCs/>
                <w:color w:val="000000"/>
              </w:rPr>
              <w:t>Focus Area: Disparities</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single" w:sz="4" w:space="0" w:color="auto"/>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Overall Premature Deaths (Ages 35 - 64),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21.8%</w:t>
            </w:r>
          </w:p>
        </w:tc>
        <w:tc>
          <w:tcPr>
            <w:tcW w:w="0" w:type="auto"/>
            <w:tcBorders>
              <w:top w:val="nil"/>
              <w:left w:val="single" w:sz="8" w:space="0" w:color="auto"/>
              <w:bottom w:val="single" w:sz="4" w:space="0" w:color="BFBFBF"/>
              <w:right w:val="single" w:sz="8" w:space="0" w:color="auto"/>
            </w:tcBorders>
            <w:shd w:val="clear" w:color="auto"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highlight w:val="yellow"/>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Ratio of Black, Non-Hispanic Premature Deaths (Ages 35 - 64) to White, Non-Hispanic Premature Deaths,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1.87</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Ratio of Hispanic/Latino Premature Deaths (Ages 35 - 64) to White, Non-Hispanic Premature Deaths,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1.86</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Adult Age-Adjusted Preventable Hospitalizations per 100,000 Population (Ages 18 Plus),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161.6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147.3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138.9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155.0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133.3</w:t>
            </w:r>
          </w:p>
        </w:tc>
        <w:tc>
          <w:tcPr>
            <w:tcW w:w="0" w:type="auto"/>
            <w:tcBorders>
              <w:top w:val="nil"/>
              <w:left w:val="nil"/>
              <w:bottom w:val="single" w:sz="4" w:space="0" w:color="BFBFBF"/>
              <w:right w:val="single" w:sz="8" w:space="0" w:color="auto"/>
            </w:tcBorders>
            <w:shd w:val="clear" w:color="auto"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Ratio of Black, Non-Hispanic Adult Age-Adjusted Preventable Hospitalizations to White, Non-Hispanic,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2.09</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1.85</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Ratio of Hispanic/Latino Adult Age-Adjusted Preventable Hospitalizations to White, Non-Hispanic,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1.38</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Percentage of Adults ( Ages 18 - 64) with Health Insurance,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100.0%</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Percentage of Adults with Regular Health Care Provider, '08/09</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86.6%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83.0%</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90.8%</w:t>
            </w:r>
          </w:p>
        </w:tc>
        <w:tc>
          <w:tcPr>
            <w:tcW w:w="0" w:type="auto"/>
            <w:tcBorders>
              <w:top w:val="single" w:sz="4" w:space="0" w:color="BFBFBF"/>
              <w:left w:val="single" w:sz="8" w:space="0" w:color="auto"/>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Disparity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Total Deaths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1,020.5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848.2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842.2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748.6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Total Deaths per 100,000 Adjusted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759.3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721.0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701.4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662.8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Emergency Department Visits per 10,000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5,244.3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3,673.1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3,534.4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3,813.6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Emergency Department Visits per 10,000 Adjusted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5,380.5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3,682.4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3,522.6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3,165.3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Total Hospital Discharges per 10,000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1,403.9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1,137.5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1,223.2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1,290.5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Total Hospital Discharges per 10,000 Adjusted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1,298.4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1,080.8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1,162.6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1,242.5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Percentage of Adults (18 and Older) Who Did Not Receive Care Due to Costs,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rPr>
                <w:b/>
                <w:bCs/>
                <w:color w:val="000000"/>
                <w:sz w:val="16"/>
                <w:szCs w:val="16"/>
              </w:rPr>
            </w:pPr>
            <w:r w:rsidRPr="00680D98">
              <w:rPr>
                <w:b/>
                <w:bCs/>
                <w:color w:val="000000"/>
                <w:sz w:val="16"/>
                <w:szCs w:val="16"/>
              </w:rPr>
              <w:t> </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 of Adults (18 and Older) with Poor Physical Health,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highlight w:val="yellow"/>
              </w:rPr>
            </w:pPr>
            <w:r w:rsidRPr="00680D98">
              <w:rPr>
                <w:color w:val="000000"/>
                <w:sz w:val="16"/>
                <w:szCs w:val="16"/>
                <w:highlight w:val="yellow"/>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 of Adults (18 and Older) with Physical Limitations,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highlight w:val="yellow"/>
              </w:rPr>
            </w:pPr>
            <w:r w:rsidRPr="00680D98">
              <w:rPr>
                <w:color w:val="000000"/>
                <w:sz w:val="16"/>
                <w:szCs w:val="16"/>
                <w:highlight w:val="yellow"/>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 of Adults (18 and Older) with Health Problems that Need Special Equipment,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highlight w:val="yellow"/>
              </w:rPr>
            </w:pPr>
            <w:r w:rsidRPr="00680D98">
              <w:rPr>
                <w:color w:val="000000"/>
                <w:sz w:val="16"/>
                <w:szCs w:val="16"/>
                <w:highlight w:val="yellow"/>
              </w:rPr>
              <w:t>Worse</w:t>
            </w:r>
          </w:p>
        </w:tc>
      </w:tr>
      <w:tr w:rsidR="001670EC" w:rsidRPr="00680D98" w:rsidTr="00A23B66">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Percentage of Adults (18 and Older) with Disabilities, '08/09</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22.5%</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highlight w:val="yellow"/>
              </w:rPr>
            </w:pPr>
            <w:r w:rsidRPr="00680D98">
              <w:rPr>
                <w:color w:val="000000"/>
                <w:sz w:val="16"/>
                <w:szCs w:val="16"/>
                <w:highlight w:val="yellow"/>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gridSpan w:val="6"/>
            <w:tcBorders>
              <w:top w:val="double" w:sz="6" w:space="0" w:color="auto"/>
              <w:left w:val="single" w:sz="8" w:space="0" w:color="auto"/>
              <w:bottom w:val="nil"/>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Disparities</w:t>
            </w:r>
          </w:p>
        </w:tc>
        <w:tc>
          <w:tcPr>
            <w:tcW w:w="0" w:type="auto"/>
            <w:tcBorders>
              <w:top w:val="double" w:sz="6" w:space="0" w:color="auto"/>
              <w:left w:val="nil"/>
              <w:bottom w:val="nil"/>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jc w:val="center"/>
              <w:rPr>
                <w:b/>
                <w:bCs/>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noWrap/>
            <w:tcMar>
              <w:top w:w="12" w:type="dxa"/>
              <w:left w:w="12" w:type="dxa"/>
              <w:bottom w:w="0" w:type="dxa"/>
              <w:right w:w="12" w:type="dxa"/>
            </w:tcMar>
            <w:vAlign w:val="bottom"/>
          </w:tcPr>
          <w:p w:rsidR="001670EC" w:rsidRPr="00680D98" w:rsidRDefault="001670EC">
            <w:pPr>
              <w:jc w:val="center"/>
              <w:rPr>
                <w:color w:val="000000"/>
                <w:sz w:val="16"/>
                <w:szCs w:val="16"/>
              </w:rPr>
            </w:pP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nil"/>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680D98">
              <w:rPr>
                <w:color w:val="000000"/>
                <w:sz w:val="16"/>
                <w:szCs w:val="16"/>
              </w:rPr>
              <w:t> </w:t>
            </w:r>
            <w:r w:rsidRPr="003311B5">
              <w:rPr>
                <w:b/>
                <w:bCs/>
                <w:color w:val="000000"/>
              </w:rPr>
              <w:t>Focus Area: Injuries, Violence, and Occupational Health</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single" w:sz="4" w:space="0" w:color="auto"/>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1. Rate of Hospitalizations due to Falls for Ages 65 Plus per 10,000 Population, '08 - 10 </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205.3</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208.4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215.8</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202.1</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204.6</w:t>
            </w:r>
          </w:p>
        </w:tc>
        <w:tc>
          <w:tcPr>
            <w:tcW w:w="0" w:type="auto"/>
            <w:tcBorders>
              <w:top w:val="nil"/>
              <w:left w:val="single" w:sz="8" w:space="0" w:color="auto"/>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ED Visits due to Falls for Children Ages 1 - 4 per 10,000 Population Children Ages 1 - 4,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782.9</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515.5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511.9</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476.4</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429.1</w:t>
            </w:r>
          </w:p>
        </w:tc>
        <w:tc>
          <w:tcPr>
            <w:tcW w:w="0" w:type="auto"/>
            <w:tcBorders>
              <w:top w:val="single" w:sz="4" w:space="0" w:color="D8D8D8"/>
              <w:left w:val="single" w:sz="8" w:space="0" w:color="auto"/>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Assault-Related Hospitalizations per 10,000 Population,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4.7</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4.3</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Ratio of Black, Non-Hispanic Assault-Related Hospitalizations to White, Non-Hispanic Assault Related Hospitalizations,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7.28</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6.69</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Ratio of Hispanic/Latino Assault-Related Hospitalizations to White, Non-Hispanic Assault Related Hospitalizations,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3.00</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2.75</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Ratio of Assault-Related Hospitalizations for Low-Income versus non-Low Income Zip Codes,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3.26</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2.92</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Rate of ED Occupational Injuries Among Working Adolescents Ages 15 - 19 per 10,000 Population Ages 15 - 19, '08 - 10</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87.6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56.1</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36.7</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33.0</w:t>
            </w:r>
          </w:p>
        </w:tc>
        <w:tc>
          <w:tcPr>
            <w:tcW w:w="0" w:type="auto"/>
            <w:tcBorders>
              <w:top w:val="single" w:sz="4" w:space="0" w:color="D8D8D8"/>
              <w:left w:val="single" w:sz="8" w:space="0" w:color="auto"/>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Hospitalizations for Falls for Children Ages Under 10 per 10,000 Population Children Ages Under 10 ,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8.8</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Hospitalizations for Falls for Children Ages 10 - 14 per 10,000 Population Children Ages 10 - 14,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6.1</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Hospitalizations for Falls for Individuals Ages 15 - 24 per 10,000 Population Individuals Ages 15 - 24,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6.3</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6.3</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Hospitalizations for Falls for Adults Ages 25 - 64 per 10,000 Population Adults Ages 25 - 64,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18.7</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D8D8D8"/>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Violent Crimes per 100,000 Population, '07 - 11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190.2</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128.0</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251.3</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395.7</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Property Crimes per 100,000 Population, '07 - 11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2,677.4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1,669.5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2,088.7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1,938.4</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D8D8D8"/>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Rate of Total Crimes per 100,000 Population, '07 - 11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2,869.4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1,797.4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2,340.0</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2,334.1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D8D8D8"/>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Rate of Malignant Mesothelioma Cases, Ages 15 Plus, per 100,000 Population Ages 15 Plus, '07 - 09</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Pneumonconsis Hospitalizations, Ages 15 Plus, per 10,000 Population Ages 15 Plus,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Asbestosis Hospitalizations, Ages 15 Plus, per 10,000 Population Ages 15 Plus,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D8D8D8"/>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Rate of Work-Related Hospitalizations, Employed Ages 16 Plus per 10,000 Individuals Employed Ages 16 Plus,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Rate of Elevated Blood Lead Levels Ages 16 Plus Employed per 10,000 Individuals Employed Ages 16 Plus,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D8D8D8"/>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Rate of Total Motor Vehicle Crashes per 100,000 Population, '09 - 11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1,782.8</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2,126.9</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2,104.5</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1,607.0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Rate of Pedestrian-Related Accidents per 100,000 Population,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45.0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Rate of Speed-Related Accidents per 100,000 Population,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225.1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146.4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Rate of Motor Vehicle Accident Deaths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 Rate of TBI Hospitalizations per 10,000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Rate of Unintentional Injury Hospitalizations per 10,000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70.7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Rate of Unintentional Injury Hospitalizations Ages 14 and Under per 10,000 Population Ages 14 and Under ,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20. Rate of Unintentional Injury Hospitalizations Ages 65 Plus per 10,000 Population Ages 65 Plus,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263.5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273.3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276.6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21. Rate of Poisoning Hospitalizations per 10,000 Population, '08 - 10</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13.1</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10.5</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Injuries, Violence, and Occupational Health</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nil"/>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nil"/>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nil"/>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3311B5">
              <w:rPr>
                <w:color w:val="000000"/>
              </w:rPr>
              <w:t> </w:t>
            </w:r>
            <w:r w:rsidRPr="003311B5">
              <w:rPr>
                <w:b/>
                <w:bCs/>
                <w:color w:val="000000"/>
              </w:rPr>
              <w:t>Focus Area: Outdoor Air Quality</w:t>
            </w: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Number of Days with Unhealthy Ozone, 2007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122</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Number of Days with Unhealthy Particulate Matter, 2007</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Outdoor Air Quality</w:t>
            </w:r>
          </w:p>
        </w:tc>
        <w:tc>
          <w:tcPr>
            <w:tcW w:w="0" w:type="auto"/>
            <w:tcBorders>
              <w:top w:val="nil"/>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tcBorders>
              <w:top w:val="nil"/>
              <w:left w:val="nil"/>
              <w:bottom w:val="double" w:sz="6"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double" w:sz="6"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double" w:sz="6"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double" w:sz="6"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double" w:sz="6"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double" w:sz="6"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double" w:sz="6"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nil"/>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3311B5">
        <w:trPr>
          <w:trHeight w:val="592"/>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680D98">
              <w:rPr>
                <w:color w:val="000000"/>
                <w:sz w:val="16"/>
                <w:szCs w:val="16"/>
              </w:rPr>
              <w:t> </w:t>
            </w:r>
            <w:r w:rsidRPr="003311B5">
              <w:rPr>
                <w:b/>
                <w:bCs/>
                <w:color w:val="000000"/>
              </w:rPr>
              <w:t>Focus Area: Built Environment</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the Population that Live in Jurisdictions that Adopted Climate Smart Communities Pledge, 2012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32.0%</w:t>
            </w:r>
          </w:p>
        </w:tc>
        <w:tc>
          <w:tcPr>
            <w:tcW w:w="0" w:type="auto"/>
            <w:tcBorders>
              <w:top w:val="single" w:sz="4" w:space="0" w:color="auto"/>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Percentage of Commuters Who Use Alternative Modes of Transportation to Work, '07 - 11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49.2%</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Percentage of Population with Low-Income and Low-Access to a Supermarket or Large Grocery Store, 2010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Percentage of Homes in Vulnerable Neighborhoods that have Fewer Asthma Triggers During Home Revisits, '08 - 11</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12.9%</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300"/>
        </w:trPr>
        <w:tc>
          <w:tcPr>
            <w:tcW w:w="0" w:type="auto"/>
            <w:gridSpan w:val="7"/>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Built Environment</w:t>
            </w:r>
          </w:p>
        </w:tc>
      </w:tr>
      <w:tr w:rsidR="001670EC" w:rsidRPr="00680D98" w:rsidTr="001B4648">
        <w:trPr>
          <w:trHeight w:val="300"/>
        </w:trPr>
        <w:tc>
          <w:tcPr>
            <w:tcW w:w="0" w:type="auto"/>
            <w:gridSpan w:val="7"/>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Default="001670EC" w:rsidP="00622A7D">
            <w:pPr>
              <w:rPr>
                <w:b/>
                <w:bCs/>
                <w:color w:val="000000"/>
                <w:sz w:val="16"/>
                <w:szCs w:val="16"/>
              </w:rPr>
            </w:pPr>
          </w:p>
          <w:p w:rsidR="001670EC" w:rsidRPr="00680D98" w:rsidRDefault="001670EC" w:rsidP="00B7047E">
            <w:pPr>
              <w:rPr>
                <w:b/>
                <w:bCs/>
                <w:color w:val="000000"/>
                <w:sz w:val="16"/>
                <w:szCs w:val="16"/>
              </w:rPr>
            </w:pPr>
          </w:p>
        </w:tc>
      </w:tr>
      <w:tr w:rsidR="001670EC" w:rsidRPr="00680D98" w:rsidTr="001B4648">
        <w:trPr>
          <w:trHeight w:val="300"/>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nil"/>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3311B5">
              <w:rPr>
                <w:color w:val="000000"/>
              </w:rPr>
              <w:t> </w:t>
            </w:r>
            <w:r w:rsidRPr="003311B5">
              <w:rPr>
                <w:b/>
                <w:bCs/>
                <w:color w:val="000000"/>
              </w:rPr>
              <w:t>Focus Area: Water Quality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A23B66">
        <w:trPr>
          <w:trHeight w:val="432"/>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Residents Served by Community Water Systems with Optimally Fluoridated Water, 2012</w:t>
            </w:r>
          </w:p>
        </w:tc>
        <w:tc>
          <w:tcPr>
            <w:tcW w:w="0" w:type="auto"/>
            <w:tcBorders>
              <w:top w:val="nil"/>
              <w:left w:val="nil"/>
              <w:bottom w:val="nil"/>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56.0%</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42.4%</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47.4%</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71.4%</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78.5%</w:t>
            </w:r>
          </w:p>
        </w:tc>
        <w:tc>
          <w:tcPr>
            <w:tcW w:w="0" w:type="auto"/>
            <w:tcBorders>
              <w:top w:val="single" w:sz="4" w:space="0" w:color="auto"/>
              <w:left w:val="single" w:sz="8" w:space="0" w:color="auto"/>
              <w:bottom w:val="nil"/>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Water Quality</w:t>
            </w:r>
          </w:p>
        </w:tc>
        <w:tc>
          <w:tcPr>
            <w:tcW w:w="0" w:type="auto"/>
            <w:tcBorders>
              <w:top w:val="single" w:sz="4" w:space="0" w:color="auto"/>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Default="001670EC">
            <w:pPr>
              <w:jc w:val="center"/>
              <w:rPr>
                <w:b/>
                <w:bCs/>
                <w:color w:val="000000"/>
                <w:sz w:val="16"/>
                <w:szCs w:val="16"/>
              </w:rPr>
            </w:pPr>
            <w:r w:rsidRPr="00680D98">
              <w:rPr>
                <w:b/>
                <w:bCs/>
                <w:color w:val="000000"/>
                <w:sz w:val="16"/>
                <w:szCs w:val="16"/>
              </w:rPr>
              <w:t> </w:t>
            </w:r>
          </w:p>
          <w:p w:rsidR="001670EC" w:rsidRDefault="001670EC">
            <w:pPr>
              <w:jc w:val="center"/>
              <w:rPr>
                <w:b/>
                <w:bCs/>
                <w:color w:val="000000"/>
                <w:sz w:val="16"/>
                <w:szCs w:val="16"/>
              </w:rPr>
            </w:pPr>
          </w:p>
          <w:p w:rsidR="001670EC" w:rsidRPr="00680D98" w:rsidRDefault="001670EC">
            <w:pPr>
              <w:jc w:val="center"/>
              <w:rPr>
                <w:b/>
                <w:bCs/>
                <w:color w:val="000000"/>
                <w:sz w:val="16"/>
                <w:szCs w:val="16"/>
              </w:rPr>
            </w:pP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3311B5" w:rsidRDefault="001670EC" w:rsidP="003311B5">
            <w:pPr>
              <w:rPr>
                <w:b/>
                <w:bCs/>
                <w:color w:val="000000"/>
              </w:rPr>
            </w:pPr>
            <w:r w:rsidRPr="003311B5">
              <w:rPr>
                <w:b/>
                <w:bCs/>
                <w:color w:val="000000"/>
              </w:rPr>
              <w:t>Focus Area: Reduce Obesity in Children and Adults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Adults Ages 18 Plus Who are Obese,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23.0%</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Percentage of Public School Children Who are Obese, '10 - 12</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16.7%</w:t>
            </w:r>
          </w:p>
        </w:tc>
        <w:tc>
          <w:tcPr>
            <w:tcW w:w="0" w:type="auto"/>
            <w:tcBorders>
              <w:top w:val="single" w:sz="4" w:space="0" w:color="BFBFBF"/>
              <w:left w:val="single" w:sz="8" w:space="0" w:color="auto"/>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gridSpan w:val="6"/>
            <w:tcBorders>
              <w:top w:val="single" w:sz="4" w:space="0" w:color="auto"/>
              <w:left w:val="single" w:sz="8" w:space="0" w:color="auto"/>
              <w:bottom w:val="single" w:sz="4" w:space="0" w:color="auto"/>
              <w:right w:val="single" w:sz="8" w:space="0" w:color="000000"/>
            </w:tcBorders>
            <w:shd w:val="clear" w:color="000000" w:fill="BFBFBF"/>
            <w:tcMar>
              <w:top w:w="12" w:type="dxa"/>
              <w:left w:w="12" w:type="dxa"/>
              <w:bottom w:w="0" w:type="dxa"/>
              <w:right w:w="12" w:type="dxa"/>
            </w:tcMar>
            <w:vAlign w:val="bottom"/>
          </w:tcPr>
          <w:p w:rsidR="001670EC" w:rsidRDefault="001670EC">
            <w:pPr>
              <w:jc w:val="center"/>
              <w:rPr>
                <w:b/>
                <w:bCs/>
                <w:color w:val="000000"/>
                <w:sz w:val="16"/>
                <w:szCs w:val="16"/>
              </w:rPr>
            </w:pPr>
            <w:r w:rsidRPr="00680D98">
              <w:rPr>
                <w:b/>
                <w:bCs/>
                <w:color w:val="000000"/>
                <w:sz w:val="16"/>
                <w:szCs w:val="16"/>
              </w:rPr>
              <w:t>Quartile Summary for Prevention Agenda Indicators</w:t>
            </w:r>
          </w:p>
          <w:p w:rsidR="001670EC" w:rsidRPr="00680D98" w:rsidRDefault="001670EC">
            <w:pPr>
              <w:jc w:val="center"/>
              <w:rPr>
                <w:b/>
                <w:bCs/>
                <w:color w:val="000000"/>
                <w:sz w:val="16"/>
                <w:szCs w:val="16"/>
              </w:rPr>
            </w:pPr>
          </w:p>
        </w:tc>
        <w:tc>
          <w:tcPr>
            <w:tcW w:w="0" w:type="auto"/>
            <w:tcBorders>
              <w:top w:val="nil"/>
              <w:left w:val="nil"/>
              <w:bottom w:val="single" w:sz="4"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Total Students Overweight,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Percentage of Elementary Students Overweight, Not Obese,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Percentage of Elementary Students Obese,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Percentage of Middle and High School Students Overweight, Not Obese,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Percentage of Middle and High School Students Obese,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Percentage of WIC Children Ages 2 - 4 Obese,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45.3%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45.7%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43.4%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Percentage of Age Adjusted Adults (Ages 18 Plus) Overweight or Obese,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59.3%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Percentage of Age Adjusted Adults (Ages 18 Plus) Who Did Not Participate in Leisure Activities Last 30 Days,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75.7%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76.3%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Number of Recreational and Fitness Facilities per 100,000 Population, 2009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Percentage of Age Adjusted Adults (Ages 18 Plus) Eating Five or More Vegetables per Day,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Percentage of Age Adjusted Adults (Ages 18 Plus) with Cholesterol Check within the Last Five Years,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76.9%</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Percentage of Age Adjusted Adults (18 Plus) Ever Diagnosed with High Blood Pressure,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32.8%</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25.7%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Percentage of Age Adjusted Adults (18 Plus) with Physician Diagnoses Angina, Heart Attack, or Stroke,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8.6%</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Rate of Cardiovascular Disease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388.3</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280.8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302.9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289.2</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Rate of Cardiovascular Premature Deaths ( Ages 35 - 64) per 100,000 Population Ages 35 - 64,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52.5</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39.4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41.3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Rate of Pretransport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201.7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146.7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155.9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144.1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 Rate of Cardiovascular Hospitalizations per 10,000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209.0</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169.5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184.6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183.3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Rate of Diseases of the Heart Deaths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317.0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219.5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243.6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239.7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Rate of Diseases of the Heart Premature Deaths ( Ages 35 - 64) per 100,000 Population Ages 35 - 64,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33.8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32.2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33.7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20. Rate of Disease of the Heart Transport Deaths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119.0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129.7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125.3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D8D8D8"/>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21. Rate of Disease of the Heart Hospitalizations per 10,000 Population,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139.7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118.9</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128.4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125.7</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22. Rate of Coronary Heart Diseases Deaths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236.7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195.6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23. Rate of Coronary Heart Diseases Premature Deaths (Ages 35 - 64) per 100,000 Population Ages 35 - 64,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30.8</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24.8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24. Rate of Coronary Heart Disease Transport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130.4</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99.0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105.2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25. Rate of Coronary Heart Disease Hospitalizations per 10,000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55.6</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51.6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52.3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26. Rate of Congestive Heart Failure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22.3</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27. Rate of Congestive Heart Failure Premature Deaths (Ages 35 - 64) per 100,000 Population Ages 35 - 64,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28. Rate of Congestive Heart Failure Transport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29. Rate of Congestive Heart Failure Hospitalizations per 10,000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34.7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32.2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30. Rate of Cerebrovascular (Stroke)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48.3</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39.3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31. Rate of Cerebrovascular (Stroke) Hospitalizations per 10,000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40.3</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29.8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32. Rate of Hypertension Hospitalizations (Ages 18 Plus) per 100,000 Population Ages 18 Plus,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33. Rate of Diabetes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13.3</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34. Rate of Diabetes Hospitalizations (Primary Diagnosis) per 10,000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20.5</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15.5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35. Rate of Diabetes Hospitalizations (Any Diagnosis) per 10,000 Population, '08 - 10</w:t>
            </w:r>
          </w:p>
        </w:tc>
        <w:tc>
          <w:tcPr>
            <w:tcW w:w="0" w:type="auto"/>
            <w:tcBorders>
              <w:top w:val="nil"/>
              <w:left w:val="nil"/>
              <w:bottom w:val="single" w:sz="4" w:space="0" w:color="auto"/>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287.3</w:t>
            </w:r>
          </w:p>
        </w:tc>
        <w:tc>
          <w:tcPr>
            <w:tcW w:w="0" w:type="auto"/>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228.1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228.9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248.7</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Reduce Obesity in Children and Adults</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3311B5" w:rsidRDefault="001670EC" w:rsidP="003311B5">
            <w:pPr>
              <w:rPr>
                <w:b/>
                <w:bCs/>
                <w:color w:val="000000"/>
              </w:rPr>
            </w:pPr>
            <w:r w:rsidRPr="003311B5">
              <w:rPr>
                <w:b/>
                <w:bCs/>
                <w:color w:val="000000"/>
              </w:rPr>
              <w:t>Focus Area: Reduce Illness, Disability, and Death Related to Tobacco Use and Secondhand Smoke Exposure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288"/>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Adults Ages 18 Plus Who Smoke '08/09</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15.0%</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gridSpan w:val="6"/>
            <w:tcBorders>
              <w:top w:val="single" w:sz="4" w:space="0" w:color="auto"/>
              <w:left w:val="single" w:sz="8" w:space="0" w:color="auto"/>
              <w:bottom w:val="single" w:sz="4"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single" w:sz="4" w:space="0" w:color="auto"/>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nil"/>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Chronic Lower Respiratory Disease Deaths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85.1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104.1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D8D8D8"/>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Chronic Lower Respiratory Disease Hospitalizations per 10,000 population,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64.2</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43.7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35.2</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39.3</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Asthma Deaths per 100,000 Population,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288"/>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Asthma Hospitalizations per 10,000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Asthma Hospitalizations, Ages 25 - 44, per 10,000 Population Ages 25 - 44,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Asthma Hospitalizations, Ages 45 - 64, per 10,000 Population Ages 45 - 64,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Rate of Asthma Hospitalizations, Ages 65 Plus, per 10,000 Population Ages 65 Plus,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Percentage of Adults with Asthma,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12.5%</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Lung and Bronchus Deaths per 100,000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69.0</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57.2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Lung and Bronchus Cases per 100,000 Population, '07- 09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101.7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94.4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83.9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Number of Registered Tobacco Vendors per 100,000 Population, '09 - 10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88.8</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101.6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94.0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102.1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Percentage of Vendors with Sales to Minors Violations, '09 - 10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Percentage of Vendors with Complaints, '09 - 10</w:t>
            </w:r>
          </w:p>
        </w:tc>
        <w:tc>
          <w:tcPr>
            <w:tcW w:w="0" w:type="auto"/>
            <w:tcBorders>
              <w:top w:val="nil"/>
              <w:left w:val="nil"/>
              <w:bottom w:val="single" w:sz="4" w:space="0" w:color="auto"/>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15.3%</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Reduce Illness, Disability, and Death Related to Tobacco Use &amp; Secondhand Smoke Exposure</w:t>
            </w:r>
          </w:p>
        </w:tc>
        <w:tc>
          <w:tcPr>
            <w:tcW w:w="0" w:type="auto"/>
            <w:tcBorders>
              <w:top w:val="double" w:sz="6" w:space="0" w:color="auto"/>
              <w:left w:val="nil"/>
              <w:bottom w:val="single" w:sz="8" w:space="0" w:color="auto"/>
              <w:right w:val="single" w:sz="8" w:space="0" w:color="auto"/>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3311B5">
        <w:trPr>
          <w:trHeight w:val="288"/>
        </w:trPr>
        <w:tc>
          <w:tcPr>
            <w:tcW w:w="0" w:type="auto"/>
            <w:vMerge w:val="restart"/>
            <w:tcBorders>
              <w:top w:val="nil"/>
              <w:left w:val="single" w:sz="8" w:space="0" w:color="auto"/>
              <w:right w:val="single" w:sz="8" w:space="0" w:color="auto"/>
            </w:tcBorders>
            <w:shd w:val="clear" w:color="000000" w:fill="A5A5A5"/>
            <w:tcMar>
              <w:top w:w="12" w:type="dxa"/>
              <w:left w:w="12" w:type="dxa"/>
              <w:bottom w:w="0" w:type="dxa"/>
              <w:right w:w="12" w:type="dxa"/>
            </w:tcMar>
            <w:vAlign w:val="bottom"/>
          </w:tcPr>
          <w:p w:rsidR="001670EC" w:rsidRPr="00680D98" w:rsidRDefault="001670EC" w:rsidP="003311B5">
            <w:pPr>
              <w:rPr>
                <w:b/>
                <w:bCs/>
                <w:color w:val="000000"/>
                <w:sz w:val="16"/>
                <w:szCs w:val="16"/>
              </w:rPr>
            </w:pPr>
          </w:p>
          <w:p w:rsidR="001670EC" w:rsidRPr="00680D98" w:rsidRDefault="001670EC" w:rsidP="003311B5">
            <w:pPr>
              <w:rPr>
                <w:color w:val="000000"/>
                <w:sz w:val="16"/>
                <w:szCs w:val="16"/>
              </w:rPr>
            </w:pPr>
            <w:r w:rsidRPr="003311B5">
              <w:rPr>
                <w:color w:val="000000"/>
              </w:rPr>
              <w:t>  </w:t>
            </w:r>
            <w:r w:rsidRPr="003311B5">
              <w:rPr>
                <w:b/>
                <w:bCs/>
                <w:color w:val="000000"/>
              </w:rPr>
              <w:t>Focus Area: Increase Access to High Quality Chronic Disease Preventive Care and Management in Both Clinical and Community Settings</w:t>
            </w:r>
          </w:p>
        </w:tc>
        <w:tc>
          <w:tcPr>
            <w:tcW w:w="0" w:type="auto"/>
            <w:vMerge w:val="restart"/>
            <w:tcBorders>
              <w:top w:val="nil"/>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nil"/>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3311B5">
        <w:trPr>
          <w:trHeight w:val="1872"/>
        </w:trPr>
        <w:tc>
          <w:tcPr>
            <w:tcW w:w="0" w:type="auto"/>
            <w:vMerge/>
            <w:tcBorders>
              <w:left w:val="single" w:sz="8" w:space="0" w:color="auto"/>
              <w:right w:val="single" w:sz="8" w:space="0" w:color="auto"/>
            </w:tcBorders>
            <w:shd w:val="clear" w:color="000000" w:fill="A5A5A5"/>
            <w:tcMar>
              <w:top w:w="12" w:type="dxa"/>
              <w:left w:w="12" w:type="dxa"/>
              <w:bottom w:w="0" w:type="dxa"/>
              <w:right w:w="12" w:type="dxa"/>
            </w:tcMar>
            <w:vAlign w:val="bottom"/>
          </w:tcPr>
          <w:p w:rsidR="001670EC" w:rsidRPr="00680D98" w:rsidRDefault="001670EC" w:rsidP="003311B5">
            <w:pPr>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of Adults Ages 50 - 75 Who Received Colorectal Screenings Based on Recent Guidelines, '08/09</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67.4%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66.3%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71.4%</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Asthma ED Visits per 10,000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66.42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75.1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Asthma ED Visits Ages 0 - 4, per 10,000 Population Ages, 0 - 4,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124.1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221.4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196.5</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Short-term Diabetes Hospitalizations for Ages 6 - 17 per 10,000 Population, Ages 6 - 17,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3.06</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Short-term Diabetes Hospitalizations for Ages 18 Plus per 10,000 Population, Ages 18 Plus,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4.86</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Age Adjusted Heart Attack Hospitalizations per 10,000 population, 2010</w:t>
            </w:r>
          </w:p>
        </w:tc>
        <w:tc>
          <w:tcPr>
            <w:tcW w:w="0" w:type="auto"/>
            <w:tcBorders>
              <w:top w:val="nil"/>
              <w:left w:val="nil"/>
              <w:bottom w:val="single" w:sz="4" w:space="0" w:color="auto"/>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25.0</w:t>
            </w:r>
          </w:p>
        </w:tc>
        <w:tc>
          <w:tcPr>
            <w:tcW w:w="0" w:type="auto"/>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15.5</w:t>
            </w:r>
          </w:p>
        </w:tc>
        <w:tc>
          <w:tcPr>
            <w:tcW w:w="0" w:type="auto"/>
            <w:tcBorders>
              <w:top w:val="nil"/>
              <w:left w:val="nil"/>
              <w:bottom w:val="single" w:sz="4" w:space="0" w:color="auto"/>
              <w:right w:val="single" w:sz="8"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14.4</w:t>
            </w:r>
          </w:p>
        </w:tc>
        <w:tc>
          <w:tcPr>
            <w:tcW w:w="0" w:type="auto"/>
            <w:tcBorders>
              <w:top w:val="single" w:sz="4" w:space="0" w:color="BFBFBF"/>
              <w:left w:val="nil"/>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gridSpan w:val="6"/>
            <w:tcBorders>
              <w:top w:val="single" w:sz="4" w:space="0" w:color="auto"/>
              <w:left w:val="single" w:sz="8" w:space="0" w:color="auto"/>
              <w:bottom w:val="single" w:sz="4"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single" w:sz="4"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nil"/>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Asthma ED Visits for Ages 18 - 64 per 10,000 Population Ages 18 - 64,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69.4</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49.3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73.9</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Asthma ED Visits for Ages 65 Plus per 10,000 Population Ages 65 Plus,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22.4</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32.1</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All Cancer Cases per 100,000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686.2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614.3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600.1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536.5</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all Cancer Deaths per 100,000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233.0</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218.5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204.1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179.9</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D8D8D8"/>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Female Breast Cancer Cases per 100,000 Female Population, '07 -09</w:t>
            </w:r>
          </w:p>
        </w:tc>
        <w:tc>
          <w:tcPr>
            <w:tcW w:w="0" w:type="auto"/>
            <w:tcBorders>
              <w:top w:val="nil"/>
              <w:left w:val="nil"/>
              <w:bottom w:val="single" w:sz="4" w:space="0" w:color="D8D8D8"/>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79.9</w:t>
            </w:r>
          </w:p>
        </w:tc>
        <w:tc>
          <w:tcPr>
            <w:tcW w:w="0" w:type="auto"/>
            <w:tcBorders>
              <w:top w:val="nil"/>
              <w:left w:val="single" w:sz="8" w:space="0" w:color="auto"/>
              <w:bottom w:val="single" w:sz="4" w:space="0" w:color="D8D8D8"/>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78.8</w:t>
            </w:r>
          </w:p>
        </w:tc>
        <w:tc>
          <w:tcPr>
            <w:tcW w:w="0" w:type="auto"/>
            <w:tcBorders>
              <w:top w:val="nil"/>
              <w:left w:val="nil"/>
              <w:bottom w:val="single" w:sz="4" w:space="0" w:color="D8D8D8"/>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83.9</w:t>
            </w:r>
          </w:p>
        </w:tc>
        <w:tc>
          <w:tcPr>
            <w:tcW w:w="0" w:type="auto"/>
            <w:tcBorders>
              <w:top w:val="nil"/>
              <w:left w:val="nil"/>
              <w:bottom w:val="single" w:sz="4" w:space="0" w:color="D8D8D8"/>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75.7</w:t>
            </w:r>
          </w:p>
        </w:tc>
        <w:tc>
          <w:tcPr>
            <w:tcW w:w="0" w:type="auto"/>
            <w:tcBorders>
              <w:top w:val="nil"/>
              <w:left w:val="nil"/>
              <w:bottom w:val="single" w:sz="4" w:space="0" w:color="D8D8D8"/>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Female Late Stage Breast Cancer Cases per 100,000 Female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7.9</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4.1</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7. Rate of Female Breast Cancer Deaths per 100,000 Female Population, '07 </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13.3</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13.7</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Percentage of Women Ages 40 Plus With Mammogram within Last Two Years, '08/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80.1%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79.8%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79.7%</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Cervix and Uterine Cancer Cases per 100,000 Female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Cervix and Uterine Cancer Deaths per 100,000 Female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Percentage of Women Ages 18 Plus with a Pap Smear within the Last Three Years, '08/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79.1%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82.7%</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Rate of Ovarian Cancer Cases per 100,000 Female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8.5</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7.8</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Rate of Ovarian Cancer Deaths per 100,000 Female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4.9</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Rate of Colon and Rectum Cancer Cases per 100,000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76.9</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54.3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53.9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50.4</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Rate of Colon and Rectum Cancer Deaths per 100,000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29.0</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10.6</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Percentage of Adults Ages 50 Plus with Home Blood Stool Test within the Last Two Years,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19.5%</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 Percentage of Adults Ages 50 Plus with Sigmoidoscopy or Colonoscopy within Last Ten Years,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62.9%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61.8%</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Rate of Prostate Cancer Deaths per 100,000 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9.7</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9.0</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Rate of Prostate Cancer Cases per 100,000 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103.5</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90.9</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91.5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82.1</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auto"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20. Rate of Prostate Cancer Late Stage Cancer Cases per 100,000 Male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21. Percentage of Males, Ages 40 Plus with a Digital Rectal Exam within Last Two Years,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50.1%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57.5%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56.7%</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22. Percentage of Males, Ages 40 Plus with a Prostate Antigen Test within Last Two Years,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51.5%</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46.6%</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54.2%</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59.4%</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23. Rate of Melanoma Cancer Deaths per 100,000 Population, '07 - '09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5.4</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3.7</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24. Percentage of Medicaid Enrollees with at Least One Preventive Dental Visit within the Year, '08 - 10</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27.0%</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29.5%</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31.3%</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25. Percentage of Age Adjusted Adults with a Dental Visit Within the Last 12 Months, '08/09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18.1%</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25.1%</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22.8%</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25.7%</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26. Oral Cavity and Pharynx Cancer Deaths per 100,000 Population, '07-09</w:t>
            </w:r>
          </w:p>
        </w:tc>
        <w:tc>
          <w:tcPr>
            <w:tcW w:w="0" w:type="auto"/>
            <w:tcBorders>
              <w:top w:val="nil"/>
              <w:left w:val="nil"/>
              <w:bottom w:val="single" w:sz="4" w:space="0" w:color="BFBFBF"/>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single" w:sz="8" w:space="0" w:color="auto"/>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nil"/>
              <w:bottom w:val="single" w:sz="4" w:space="0" w:color="BFBFBF"/>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w:t>
            </w:r>
          </w:p>
        </w:tc>
        <w:tc>
          <w:tcPr>
            <w:tcW w:w="0" w:type="auto"/>
            <w:tcBorders>
              <w:top w:val="nil"/>
              <w:left w:val="nil"/>
              <w:bottom w:val="single" w:sz="4" w:space="0" w:color="BFBFBF"/>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D8D8D8"/>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27. Oral Cavity and Pharynx Cancer Deaths, Adults Ages 45 - 74, per 100,000 Population, Ages 45 - 74, '07 - 09</w:t>
            </w:r>
          </w:p>
        </w:tc>
        <w:tc>
          <w:tcPr>
            <w:tcW w:w="0" w:type="auto"/>
            <w:tcBorders>
              <w:top w:val="nil"/>
              <w:left w:val="nil"/>
              <w:bottom w:val="single" w:sz="4" w:space="0" w:color="D8D8D8"/>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5.0</w:t>
            </w:r>
          </w:p>
        </w:tc>
        <w:tc>
          <w:tcPr>
            <w:tcW w:w="0" w:type="auto"/>
            <w:tcBorders>
              <w:top w:val="nil"/>
              <w:left w:val="single" w:sz="8" w:space="0" w:color="auto"/>
              <w:bottom w:val="single" w:sz="4" w:space="0" w:color="D8D8D8"/>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w:t>
            </w:r>
          </w:p>
        </w:tc>
        <w:tc>
          <w:tcPr>
            <w:tcW w:w="0" w:type="auto"/>
            <w:tcBorders>
              <w:top w:val="nil"/>
              <w:left w:val="nil"/>
              <w:bottom w:val="single" w:sz="4" w:space="0" w:color="D8D8D8"/>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w:t>
            </w:r>
          </w:p>
        </w:tc>
        <w:tc>
          <w:tcPr>
            <w:tcW w:w="0" w:type="auto"/>
            <w:tcBorders>
              <w:top w:val="nil"/>
              <w:left w:val="nil"/>
              <w:bottom w:val="single" w:sz="4" w:space="0" w:color="D8D8D8"/>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w:t>
            </w:r>
          </w:p>
        </w:tc>
        <w:tc>
          <w:tcPr>
            <w:tcW w:w="0" w:type="auto"/>
            <w:tcBorders>
              <w:top w:val="nil"/>
              <w:left w:val="nil"/>
              <w:bottom w:val="single" w:sz="4" w:space="0" w:color="D8D8D8"/>
              <w:right w:val="single" w:sz="8"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28. Oral Cavity and Pharynx Cancer Cases per 100,000 Population, '07 - 09</w:t>
            </w:r>
          </w:p>
        </w:tc>
        <w:tc>
          <w:tcPr>
            <w:tcW w:w="0" w:type="auto"/>
            <w:tcBorders>
              <w:top w:val="nil"/>
              <w:left w:val="nil"/>
              <w:bottom w:val="single" w:sz="4" w:space="0" w:color="auto"/>
              <w:right w:val="nil"/>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16.9</w:t>
            </w:r>
          </w:p>
        </w:tc>
        <w:tc>
          <w:tcPr>
            <w:tcW w:w="0" w:type="auto"/>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11.5</w:t>
            </w:r>
          </w:p>
        </w:tc>
        <w:tc>
          <w:tcPr>
            <w:tcW w:w="0" w:type="auto"/>
            <w:tcBorders>
              <w:top w:val="nil"/>
              <w:left w:val="nil"/>
              <w:bottom w:val="single" w:sz="4" w:space="0" w:color="auto"/>
              <w:right w:val="single" w:sz="8" w:space="0" w:color="auto"/>
            </w:tcBorders>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c>
          <w:tcPr>
            <w:tcW w:w="0" w:type="auto"/>
            <w:tcBorders>
              <w:top w:val="single" w:sz="4" w:space="0" w:color="D8D8D8"/>
              <w:left w:val="nil"/>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7"/>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xml:space="preserve">Quartile Summary for Focus Area Increase Access to High Quality Chronic Disease Preventive Care &amp; Management </w:t>
            </w:r>
          </w:p>
        </w:tc>
      </w:tr>
      <w:tr w:rsidR="001670EC" w:rsidRPr="00680D98" w:rsidTr="001B4648">
        <w:trPr>
          <w:trHeight w:val="300"/>
        </w:trPr>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8"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val="restart"/>
            <w:tcBorders>
              <w:top w:val="nil"/>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nil"/>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rsidP="00B7047E">
            <w:pPr>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3311B5">
              <w:rPr>
                <w:color w:val="000000"/>
              </w:rPr>
              <w:t> </w:t>
            </w:r>
            <w:r w:rsidRPr="003311B5">
              <w:rPr>
                <w:b/>
                <w:bCs/>
                <w:color w:val="000000"/>
              </w:rPr>
              <w:t>Focus Area: Maternal and Infant Health </w:t>
            </w: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b/>
                <w:bCs/>
                <w:color w:val="000000"/>
                <w:sz w:val="16"/>
                <w:szCs w:val="16"/>
              </w:rPr>
            </w:pPr>
          </w:p>
        </w:tc>
        <w:tc>
          <w:tcPr>
            <w:tcW w:w="0" w:type="auto"/>
            <w:tcBorders>
              <w:top w:val="nil"/>
              <w:left w:val="nil"/>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c>
          <w:tcPr>
            <w:tcW w:w="0" w:type="auto"/>
            <w:tcBorders>
              <w:top w:val="nil"/>
              <w:left w:val="nil"/>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single" w:sz="4" w:space="0" w:color="BFBFBF"/>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Preterm Births &lt; 37 Weeks of Total Births Where Gestation Period is Known, '08 - 10</w:t>
            </w:r>
          </w:p>
        </w:tc>
        <w:tc>
          <w:tcPr>
            <w:tcW w:w="0" w:type="auto"/>
            <w:tcBorders>
              <w:top w:val="single" w:sz="4" w:space="0" w:color="BFBFBF"/>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10.6%</w:t>
            </w:r>
          </w:p>
        </w:tc>
        <w:tc>
          <w:tcPr>
            <w:tcW w:w="0" w:type="auto"/>
            <w:tcBorders>
              <w:top w:val="single" w:sz="4" w:space="0" w:color="BFBFBF"/>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10.5%</w:t>
            </w:r>
          </w:p>
        </w:tc>
        <w:tc>
          <w:tcPr>
            <w:tcW w:w="0" w:type="auto"/>
            <w:tcBorders>
              <w:top w:val="single" w:sz="4" w:space="0" w:color="BFBFBF"/>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11.2%</w:t>
            </w:r>
          </w:p>
        </w:tc>
        <w:tc>
          <w:tcPr>
            <w:tcW w:w="0" w:type="auto"/>
            <w:tcBorders>
              <w:top w:val="single" w:sz="4" w:space="0" w:color="BFBFBF"/>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12.0%</w:t>
            </w:r>
          </w:p>
        </w:tc>
        <w:tc>
          <w:tcPr>
            <w:tcW w:w="0" w:type="auto"/>
            <w:tcBorders>
              <w:top w:val="single" w:sz="4" w:space="0" w:color="BFBFBF"/>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10.2%</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Ratio of Preterm Births (&lt; 37 wks) Black/NH to White/NH,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1.42</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Ratio of Preterm Births (&lt; 37 wks) Hisp/Latino to White/NH,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1.25</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1.12</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Ratio of Preterm Births (&lt; 37 wks) Medicaid to Non-Medicaid,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Maternal Mortality per 100,000 Births,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19.7</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Percentage of Live Birth Infants Exclusively Breastfed in Delivery Hospital,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63.0%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48.1%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Ratio of Infants Exclusively Breastfed in Delivery Hospital Black, non-Hispanic to White, non-Hispanic,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0.57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Ratio of Infants Exclusively Breastfed in Delivery Hospital Hispanic/Latino to White, non-Hispanic,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0.64</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nil"/>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Ratio of Infants Exclusively Breastfed in Delivery Hospital Medicaid to Non-Medicaid Births, '08 - 10</w:t>
            </w:r>
          </w:p>
        </w:tc>
        <w:tc>
          <w:tcPr>
            <w:tcW w:w="0" w:type="auto"/>
            <w:tcBorders>
              <w:top w:val="nil"/>
              <w:left w:val="nil"/>
              <w:bottom w:val="nil"/>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0.8</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nil"/>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0.66</w:t>
            </w:r>
          </w:p>
        </w:tc>
        <w:tc>
          <w:tcPr>
            <w:tcW w:w="0" w:type="auto"/>
            <w:tcBorders>
              <w:top w:val="single" w:sz="4" w:space="0" w:color="BFBFBF"/>
              <w:left w:val="nil"/>
              <w:bottom w:val="nil"/>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single" w:sz="8"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single" w:sz="4" w:space="0" w:color="auto"/>
              <w:left w:val="nil"/>
              <w:bottom w:val="single" w:sz="8"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nil"/>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Percentage Preterm Births &lt; 32 weeks of Total Births Where Gestation Period is Known,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Percentage Preterm Births 32 to &lt; 37 Weeks of Total Births Where Gestation Period is Known,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9.9%</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Percentage of Total Births with Weights Less Than 1,500 grams,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Percentage of Singleton Births with Weights Less Than 1,500 grams,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A23B66">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Percentage of Total Births with Weights Less Than 2,500 grams,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A23B66">
        <w:trPr>
          <w:trHeight w:val="432"/>
        </w:trPr>
        <w:tc>
          <w:tcPr>
            <w:tcW w:w="0" w:type="auto"/>
            <w:tcBorders>
              <w:top w:val="nil"/>
              <w:left w:val="single" w:sz="8" w:space="0" w:color="auto"/>
              <w:bottom w:val="single" w:sz="4" w:space="0" w:color="D8D8D8"/>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Percentage of Singleton Births with Weights Less Than 2,500 grams, '08 - 10</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5.4%</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6.2%</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single" w:sz="8" w:space="0" w:color="auto"/>
              <w:bottom w:val="single" w:sz="4" w:space="0" w:color="D8D8D8"/>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Percentage of Total Births for Black, Non-Hispanic, with Weights Less than 2,500 Grams,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Percentage of Total Births for Hispanic/Latino, with Weights Less than 2,500 Grams,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Infant Mortality Rate per 1,000 Live Births,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Infant Mortality Rate for Black, Non-Hispanic per 1,000 Births,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Infant Mortality Rate for Hispanic/Latino per 1,000 Births,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Rate of Deaths (28 Weeks Gestation to Seven Days) per 1,000 Live Births and Perinatal Deaths,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Percentage Early Prenatal Care of Total Births Where Prenatal Care Status is Known,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75.4%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75.2%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Percentage Early Prenatal Care for Black, Non-Hispanic,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61.1%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Percentage Early Prenatal Care for Hispanic/Latino,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65.4%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63.0%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65.1%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Percentage APGAR Scores of Less Than Five at Five Minute Mark of Births Where APGAR Score is Known,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 Rate of Newborn Drug Related Hospitalizations per 10,000 Births,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63.1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75.1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61.9</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Percentage WIC Women Breastfed at Six months,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39.7%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Percentage Infants Receiving Any Breast Milk in Delivery Hospital, '08 - 10</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54.4%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71.0%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Default="001670EC">
            <w:pPr>
              <w:jc w:val="center"/>
              <w:rPr>
                <w:b/>
                <w:bCs/>
                <w:color w:val="000000"/>
                <w:sz w:val="16"/>
                <w:szCs w:val="16"/>
              </w:rPr>
            </w:pPr>
            <w:r w:rsidRPr="00680D98">
              <w:rPr>
                <w:b/>
                <w:bCs/>
                <w:color w:val="000000"/>
                <w:sz w:val="16"/>
                <w:szCs w:val="16"/>
              </w:rPr>
              <w:t>Quartile Summary for Other Indicators</w:t>
            </w: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Pr="00680D98" w:rsidRDefault="001670EC">
            <w:pPr>
              <w:jc w:val="center"/>
              <w:rPr>
                <w:b/>
                <w:bCs/>
                <w:color w:val="000000"/>
                <w:sz w:val="16"/>
                <w:szCs w:val="16"/>
              </w:rPr>
            </w:pPr>
          </w:p>
        </w:tc>
        <w:tc>
          <w:tcPr>
            <w:tcW w:w="0" w:type="auto"/>
            <w:tcBorders>
              <w:top w:val="single" w:sz="4" w:space="0" w:color="auto"/>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Maternal and Infant Health</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680D98">
              <w:rPr>
                <w:color w:val="000000"/>
                <w:sz w:val="16"/>
                <w:szCs w:val="16"/>
              </w:rPr>
              <w:t>  </w:t>
            </w:r>
            <w:r w:rsidRPr="003311B5">
              <w:rPr>
                <w:b/>
                <w:bCs/>
                <w:color w:val="000000"/>
              </w:rPr>
              <w:t>Focus Area: Preconception and Reproductive Health</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 of Births within 24 months of Previous Pregnancy,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17.0%</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Pregnancies Ages 15 - 17 year per 1,000 Females Ages 15-17,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25.6</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Ratio of Pregnancy Rates for Ages 15 - 17 Black, non-Hispanic to White, non-Hispanic,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5.75</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4.90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Ratio of Pregnancy Rates for Ages 15 - 17 Hispanic/Latino to White, non-Hispanic,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Percent of Unintended Births to Total Births,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33.5%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24.2%</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D8D8D8"/>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Ratio of Unintended Births Black, non-Hispanic to White, non-Hispanic, '08 - 10</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2.11</w:t>
            </w:r>
          </w:p>
        </w:tc>
        <w:tc>
          <w:tcPr>
            <w:tcW w:w="0" w:type="auto"/>
            <w:tcBorders>
              <w:top w:val="nil"/>
              <w:left w:val="nil"/>
              <w:bottom w:val="single" w:sz="4" w:space="0" w:color="D8D8D8"/>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1.88</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Ratio of Unintended Births Hispanic/Latino to White, non-Hispanic,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1.59</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1.36</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Ratio of Unintended Births Medicaid to Non-Medicaid, '08 - 10</w:t>
            </w:r>
          </w:p>
        </w:tc>
        <w:tc>
          <w:tcPr>
            <w:tcW w:w="0" w:type="auto"/>
            <w:tcBorders>
              <w:top w:val="nil"/>
              <w:left w:val="nil"/>
              <w:bottom w:val="nil"/>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1.86</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1.71</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1.56</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Percentage of Women Ages 18- 64 with Health Insurance, '08/09</w:t>
            </w:r>
          </w:p>
        </w:tc>
        <w:tc>
          <w:tcPr>
            <w:tcW w:w="0" w:type="auto"/>
            <w:tcBorders>
              <w:top w:val="single" w:sz="4" w:space="0" w:color="BFBFBF"/>
              <w:left w:val="nil"/>
              <w:bottom w:val="nil"/>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86.6%</w:t>
            </w:r>
          </w:p>
        </w:tc>
        <w:tc>
          <w:tcPr>
            <w:tcW w:w="0" w:type="auto"/>
            <w:tcBorders>
              <w:top w:val="single" w:sz="4" w:space="0" w:color="BFBFBF"/>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88.4%</w:t>
            </w:r>
          </w:p>
        </w:tc>
        <w:tc>
          <w:tcPr>
            <w:tcW w:w="0" w:type="auto"/>
            <w:tcBorders>
              <w:top w:val="single" w:sz="4" w:space="0" w:color="BFBFBF"/>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86.1%</w:t>
            </w:r>
          </w:p>
        </w:tc>
        <w:tc>
          <w:tcPr>
            <w:tcW w:w="0" w:type="auto"/>
            <w:tcBorders>
              <w:top w:val="single" w:sz="4" w:space="0" w:color="BFBFBF"/>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100.0%</w:t>
            </w:r>
          </w:p>
        </w:tc>
        <w:tc>
          <w:tcPr>
            <w:tcW w:w="0" w:type="auto"/>
            <w:tcBorders>
              <w:top w:val="single" w:sz="4" w:space="0" w:color="BFBFBF"/>
              <w:left w:val="single" w:sz="8" w:space="0" w:color="auto"/>
              <w:bottom w:val="nil"/>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rsidP="00B7047E">
            <w:pPr>
              <w:jc w:val="center"/>
              <w:rPr>
                <w:b/>
                <w:bCs/>
                <w:color w:val="000000"/>
                <w:sz w:val="16"/>
                <w:szCs w:val="16"/>
              </w:rPr>
            </w:pPr>
            <w:r w:rsidRPr="00680D98">
              <w:rPr>
                <w:b/>
                <w:bCs/>
                <w:color w:val="000000"/>
                <w:sz w:val="16"/>
                <w:szCs w:val="16"/>
              </w:rPr>
              <w:t>Quartile Summary for Prevention Agenda Indicators</w:t>
            </w:r>
          </w:p>
        </w:tc>
        <w:tc>
          <w:tcPr>
            <w:tcW w:w="0" w:type="auto"/>
            <w:tcBorders>
              <w:top w:val="single" w:sz="4" w:space="0" w:color="auto"/>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Total Births per 1,000 Females Ages 15-44,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58.2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 Multiple Births of Total Births,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Percent C-Sections to Total Births,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38.5%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34.8%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36.1%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34.4%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center"/>
          </w:tcPr>
          <w:p w:rsidR="001670EC" w:rsidRPr="00680D98" w:rsidRDefault="001670EC">
            <w:pPr>
              <w:rPr>
                <w:color w:val="000000"/>
                <w:sz w:val="16"/>
                <w:szCs w:val="16"/>
              </w:rPr>
            </w:pPr>
            <w:r w:rsidRPr="00680D98">
              <w:rPr>
                <w:color w:val="000000"/>
                <w:sz w:val="16"/>
                <w:szCs w:val="16"/>
              </w:rPr>
              <w:t>4. Rate of Total Pregnancies per 1,000 Females Ages 15-44,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93.6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Births Ages 10 - 14 per 1,000 Females Ages 10-14,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Pregnancies Ages 10 - 14 per 1,000 Females Ages 10-14,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Rate of Births Ages 15 - 17 per 1,000 Females Ages 15-17,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Rate of Births Ages 15 - 19 per 1,000 Females Ages 15-19,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Pregnancies Ages 15 - 19 per 1,000 Females Ages 5-19,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51.4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37.4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Births Ages 18 - 19 per 1,000 Females Ages 18-19,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35.4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Rate of Pregnancies Ages 18 - 19 per 1,000 Females Ages 18-19,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109.9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Percent Total Births to Women Ages 35 Plus,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Rate of Abortions Ages 15 - 19 per 100 Live Births, Mothers Ages 15-19,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Rate of Abortions All Ages per 100 Live Births to All Mothers,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Percentage of WIC Women Pre-pregnancy Underweight,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4.9%</w:t>
            </w:r>
          </w:p>
        </w:tc>
        <w:tc>
          <w:tcPr>
            <w:tcW w:w="0" w:type="auto"/>
            <w:tcBorders>
              <w:top w:val="nil"/>
              <w:left w:val="single" w:sz="4" w:space="0" w:color="auto"/>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Percentage of WIC Women Pre-pregnancy Overweight but not Obese, '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23.5%</w:t>
            </w:r>
          </w:p>
        </w:tc>
        <w:tc>
          <w:tcPr>
            <w:tcW w:w="0" w:type="auto"/>
            <w:tcBorders>
              <w:top w:val="nil"/>
              <w:left w:val="single" w:sz="4" w:space="0" w:color="auto"/>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26.6%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 Percentage of WIC Women Pre-pregnancy Obese,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31.2%</w:t>
            </w:r>
          </w:p>
        </w:tc>
        <w:tc>
          <w:tcPr>
            <w:tcW w:w="0" w:type="auto"/>
            <w:tcBorders>
              <w:top w:val="nil"/>
              <w:left w:val="single" w:sz="4" w:space="0" w:color="auto"/>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23.4%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Percentage of WIC Women with Gestational Weight Gain Greater than Ideal,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48.6%</w:t>
            </w:r>
          </w:p>
        </w:tc>
        <w:tc>
          <w:tcPr>
            <w:tcW w:w="0" w:type="auto"/>
            <w:tcBorders>
              <w:top w:val="nil"/>
              <w:left w:val="single" w:sz="4" w:space="0" w:color="auto"/>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41.8%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D8D8D8"/>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Percentage of WIC Women with Gestational Diabetes, '08 - 10</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5.0%</w:t>
            </w:r>
          </w:p>
        </w:tc>
        <w:tc>
          <w:tcPr>
            <w:tcW w:w="0" w:type="auto"/>
            <w:tcBorders>
              <w:top w:val="nil"/>
              <w:left w:val="single" w:sz="4" w:space="0" w:color="auto"/>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5.5%</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288"/>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20. Percentage of WIC Women with Gestational Hypertension, '08 - 10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9.9%</w:t>
            </w:r>
          </w:p>
        </w:tc>
        <w:tc>
          <w:tcPr>
            <w:tcW w:w="0" w:type="auto"/>
            <w:tcBorders>
              <w:top w:val="nil"/>
              <w:left w:val="single" w:sz="4" w:space="0" w:color="auto"/>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7.2%</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D8D8D8"/>
              <w:left w:val="nil"/>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Preconception and Reproductive Health</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3311B5">
              <w:rPr>
                <w:color w:val="000000"/>
              </w:rPr>
              <w:t> </w:t>
            </w:r>
            <w:r w:rsidRPr="003311B5">
              <w:rPr>
                <w:b/>
                <w:bCs/>
                <w:color w:val="000000"/>
              </w:rPr>
              <w:t>Focus Area: Child Health</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1. Percentage of Children Ages 0 - 15 Months with Government Insurance with Recommended Well Visits, 2011 </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92.2%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2. Percentage of Children Ages 3 - 6 Years with Government Insurance with Recommended Well Visits, 2011 </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81.1%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81.9%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82.8%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3. Percentage of Children Ages 12 -21 Years with Government Insurance with Recommended Well Visits, 2011 </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77.0%</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Percentage of Children Ages 0 -19 with Health Insurance, 2010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94.5%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95.0%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94.9%</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100.0%</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Percentage of 3rd Graders with Untreated Tooth Decay, '09 - 11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21.6%</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Ratio of 3rd Graders with Untreated Tooth Decay, Low Income Children to Non-Low income Children, '09 - 11</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0.95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2.21</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Children Deaths Ages 1 - 4 per 100,000 Population Children Ages 1 - 4,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Children Deaths Ages 5 - 9 per 100,000 Population Children Ages 1 - 4,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Children Deaths Ages 10 - 14 per 100,000 Population Children ages 10 - 14,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13.0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Children Deaths Ages 5 - 14 per 100,000 Population Children Ages 5 - 14,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11.8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Children Deaths Ages 5 - 19 per 100,000 Population Children Ages 15 - 19 ,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37.8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37.2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Children Deaths Ages 1 - 19 per 100,000 Population Children Ages 1 - 19,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Rate of Asthma Hospitalizations Children Ages 0 - 4 per 10,000 Population Children Ages 0 - 4,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36.1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58.8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Rate of Asthma Hospitalizations Children Ages 5 - 14 per 10,000 Population Children Ages 5 - 14,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Asthma Hospitalizations Children Ages 0 - 17 per 10,000 Population Children Ages 0 - 17, '8 - 10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16.1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Gastroenteritis Hospitalizations Children Ages 0 - 4 per 10,000 Population Children Ages 0 - 4,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Rate of Otitis Media Hospitalizations Children Ages 0 - 4 per 10,000 Population Children Ages 0 - 4,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Rate of Pneumonia Hospitalizations Children Ages 0 - 4 per 10,000 Population Children Ages 0 - 4,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61.5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37.5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Rate of ED Asthma Visits Children Ages 0 - 4 per 10,000 Population Children Ages 0 - 4,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124.1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221.4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Percentage of Children Screened for Lead by Age 9 months</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Percentage of Children Screened for Lead by Age 18 months</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54.1%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65.4%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Percentage of Children Screened for Lead by Age 36 months (at least two screenings)</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34.1%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45.2%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52.9%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 Rate of Children Ages &lt; 6 with Confirmed Blood Lead Levels &gt;= 10 mg/dl Cases Per 1,000 Children Tested,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23.3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Rate of Unintentional Injury Hospitalizations for Children Under Age 10 per 10,000 Population Children Under Age 10,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Rate of Unintentional Injury Hospitalizations for Children Ages 10 - 14 per 10,000 Population Children Ages 10 - 14,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20. Rate of Unintentional Injury Hospitalizations for Children/Young Adults Ages 15 - 24 per 10,000 Ages 15 - 24,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32.7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21. Rate of Asthma ED Visits for Children Ages 0 - 17 per 10,000 Population Children Ages 0 - 17, '07 - 09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98.8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65.1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142.4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22. Percentage of Medicaid Enrollees Ages 2 - 20 with at Least One Dental Visit,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36.5%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39.5%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40.8%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23 Percentage of 3rd Graders with Dental Caries,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24. Percentage of 3rd Graders with Dental Sealants,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25. Percentage of 3rd Graders with Dental Insurance,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26. Percentage of 3rd Graders with at Least One Dental Visit,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95.8%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27. Percentage of 3rd Graders Taking Fluoride Tablets Regularly, '09 - 11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28. Rate of Caries ED Visits for Children Ages 3 - 5 per 10,000 Population Children Ages 3 - 5,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69.9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65.8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29. Percentage of WIC Children Ages 2 - 4 Viewing Two Hours TV or Less Per Day, '08 - 10</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83.3%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78.6%</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Child Health</w:t>
            </w:r>
          </w:p>
        </w:tc>
        <w:tc>
          <w:tcPr>
            <w:tcW w:w="0" w:type="auto"/>
            <w:tcBorders>
              <w:top w:val="nil"/>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Default="001670EC">
            <w:pPr>
              <w:jc w:val="center"/>
              <w:rPr>
                <w:b/>
                <w:bCs/>
                <w:color w:val="000000"/>
                <w:sz w:val="16"/>
                <w:szCs w:val="16"/>
              </w:rPr>
            </w:pPr>
          </w:p>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680D98">
              <w:rPr>
                <w:color w:val="000000"/>
                <w:sz w:val="16"/>
                <w:szCs w:val="16"/>
              </w:rPr>
              <w:t> </w:t>
            </w:r>
            <w:r w:rsidRPr="003311B5">
              <w:rPr>
                <w:b/>
                <w:bCs/>
                <w:color w:val="000000"/>
              </w:rPr>
              <w:t>Focus Area: Human Immunodeficiency Virus (HIV)</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gridSpan w:val="7"/>
            <w:tcBorders>
              <w:top w:val="single" w:sz="4" w:space="0" w:color="auto"/>
              <w:left w:val="single" w:sz="8" w:space="0" w:color="auto"/>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Newly Diagnosed HIV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14.7</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Ratio of Newly Diagnosed HIV Cases Black, non-Hispanic versus White, non-Hispanic, '08 - 10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45.7</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4" w:space="0" w:color="BFBFBF"/>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AIDS Cases per 100,000 Population, '08 - 10</w:t>
            </w:r>
          </w:p>
        </w:tc>
        <w:tc>
          <w:tcPr>
            <w:tcW w:w="0" w:type="auto"/>
            <w:tcBorders>
              <w:top w:val="single" w:sz="4" w:space="0" w:color="BFBFBF"/>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w:t>
            </w:r>
          </w:p>
        </w:tc>
        <w:tc>
          <w:tcPr>
            <w:tcW w:w="0" w:type="auto"/>
            <w:tcBorders>
              <w:top w:val="single" w:sz="4" w:space="0" w:color="BFBFBF"/>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w:t>
            </w:r>
          </w:p>
        </w:tc>
        <w:tc>
          <w:tcPr>
            <w:tcW w:w="0" w:type="auto"/>
            <w:tcBorders>
              <w:top w:val="single" w:sz="4" w:space="0" w:color="BFBFBF"/>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5.6</w:t>
            </w:r>
          </w:p>
        </w:tc>
        <w:tc>
          <w:tcPr>
            <w:tcW w:w="0" w:type="auto"/>
            <w:tcBorders>
              <w:top w:val="single" w:sz="4" w:space="0" w:color="BFBFBF"/>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17.6</w:t>
            </w:r>
          </w:p>
        </w:tc>
        <w:tc>
          <w:tcPr>
            <w:tcW w:w="0" w:type="auto"/>
            <w:tcBorders>
              <w:top w:val="single" w:sz="4" w:space="0" w:color="BFBFBF"/>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AIDS Deaths per 100,000 Adjusted Population, '08 - 10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300"/>
        </w:trPr>
        <w:tc>
          <w:tcPr>
            <w:tcW w:w="0" w:type="auto"/>
            <w:gridSpan w:val="6"/>
            <w:tcBorders>
              <w:top w:val="nil"/>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Human Immunodeficiency Virus (HIV)</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3311B5">
              <w:rPr>
                <w:color w:val="000000"/>
              </w:rPr>
              <w:t> </w:t>
            </w:r>
            <w:r w:rsidRPr="003311B5">
              <w:rPr>
                <w:b/>
                <w:bCs/>
                <w:color w:val="000000"/>
              </w:rPr>
              <w:t>Focus Area: Sexually Transmitted Disease (STDs)</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gridSpan w:val="7"/>
            <w:tcBorders>
              <w:top w:val="single" w:sz="4" w:space="0" w:color="auto"/>
              <w:left w:val="single" w:sz="8" w:space="0" w:color="auto"/>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Primary and Secondary Syphilis for Males per 100,000 Male Population, 2010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11.2</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Primary and Secondary Syphilis for Females per 100,000 Female Population, 2010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0.5</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0.4</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Gonorrhea Cases for Females Ages 15-44 per 100,000 Female Population Ages 15-44, 2010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60.1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50.4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147.0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203.4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183.1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Gonorrhea Cases for Males Ages 15 - 44 per 100,000 Male Population Ages 15-44, 2010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221.7</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199.5</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Chlamydia for Females Ages 15 - 44 per 100,000 Female Population Ages 15 - 44, '08 - 10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931.8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775.5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1167.9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1619.8</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1458.0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gridSpan w:val="6"/>
            <w:tcBorders>
              <w:top w:val="single" w:sz="4" w:space="0" w:color="auto"/>
              <w:left w:val="single" w:sz="8" w:space="0" w:color="auto"/>
              <w:bottom w:val="single" w:sz="4"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single" w:sz="4"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nil"/>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Early Syphilis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Gonorrhea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35.0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55.7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89.7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Gonorrhea Ages 15 - 19 Cases per 100,000 Population Ages 15-19,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106.2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335.5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D8D8D8"/>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Chlamydia Cases All Males per 100,000 Male Population, '08 - 10</w:t>
            </w:r>
          </w:p>
        </w:tc>
        <w:tc>
          <w:tcPr>
            <w:tcW w:w="0" w:type="auto"/>
            <w:tcBorders>
              <w:top w:val="nil"/>
              <w:left w:val="single" w:sz="8" w:space="0" w:color="auto"/>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73.3</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75.7</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178.9</w:t>
            </w:r>
          </w:p>
        </w:tc>
        <w:tc>
          <w:tcPr>
            <w:tcW w:w="0" w:type="auto"/>
            <w:tcBorders>
              <w:top w:val="nil"/>
              <w:left w:val="nil"/>
              <w:bottom w:val="single" w:sz="4"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305.1</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Chlamydia Cases Males Ages 15 - 19 Cases per 100,000 Male Population Ages 15-19,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270.9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220.7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586.9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1,013.5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Chlamydia Cases Males Ages 20 - 24 per 100,000 Male Population Ages 20-24,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527.5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461.9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920.6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1,410.1</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Rate of Chlamydia Cases All Females per 100,000 Female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347.5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426.2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644.6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Rate of Chlamydia Cases Females Ages 15- 19 per 100,000 Female Population Ages 15 - 19,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2,521.3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1,415.8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2,334.5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3,587.6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Chlamydia Cases Females Ages 20 - 24 per 100,000 Female Population Ages 20-24,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2,130.2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1,606.0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2,200.4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3,114.6</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PID Hospitalizations Females Ages 15 - 44 per 10,000 Female Population Ages 15 - 44, '08 - 10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single" w:sz="4" w:space="0" w:color="auto"/>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Sexually Transmitted Diseases</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3311B5">
              <w:rPr>
                <w:color w:val="000000"/>
              </w:rPr>
              <w:t> </w:t>
            </w:r>
            <w:r w:rsidRPr="003311B5">
              <w:rPr>
                <w:b/>
                <w:bCs/>
                <w:color w:val="000000"/>
              </w:rPr>
              <w:t>Focus Area: Vaccine Preventable Disease</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gridSpan w:val="7"/>
            <w:tcBorders>
              <w:top w:val="single" w:sz="4" w:space="0" w:color="auto"/>
              <w:left w:val="single" w:sz="8" w:space="0" w:color="auto"/>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 of Children Ages 19 - 35 months with 4:3:1:3:3:1:4,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57.6%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47.6%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80.0%</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 females 13 - 17 with 3 dose HPV vaccine,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32.5%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50.0%</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nil"/>
              <w:right w:val="nil"/>
            </w:tcBorders>
            <w:tcMar>
              <w:top w:w="12" w:type="dxa"/>
              <w:left w:w="12" w:type="dxa"/>
              <w:bottom w:w="0" w:type="dxa"/>
              <w:right w:w="12" w:type="dxa"/>
            </w:tcMar>
            <w:vAlign w:val="center"/>
          </w:tcPr>
          <w:p w:rsidR="001670EC" w:rsidRPr="00680D98" w:rsidRDefault="001670EC">
            <w:pPr>
              <w:rPr>
                <w:color w:val="000000"/>
                <w:sz w:val="16"/>
                <w:szCs w:val="16"/>
              </w:rPr>
            </w:pPr>
            <w:r w:rsidRPr="00680D98">
              <w:rPr>
                <w:color w:val="000000"/>
                <w:sz w:val="16"/>
                <w:szCs w:val="16"/>
              </w:rPr>
              <w:t>3. Percent of Adults Ages 65 Plus With Flu Shots Within Last Year, '08/09</w:t>
            </w:r>
          </w:p>
        </w:tc>
        <w:tc>
          <w:tcPr>
            <w:tcW w:w="0" w:type="auto"/>
            <w:tcBorders>
              <w:top w:val="nil"/>
              <w:left w:val="single" w:sz="8" w:space="0" w:color="auto"/>
              <w:bottom w:val="nil"/>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69.6%</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nil"/>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75.0%</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75.1%</w:t>
            </w:r>
          </w:p>
        </w:tc>
        <w:tc>
          <w:tcPr>
            <w:tcW w:w="0" w:type="auto"/>
            <w:tcBorders>
              <w:top w:val="single" w:sz="4" w:space="0" w:color="BFBFBF"/>
              <w:left w:val="single" w:sz="8" w:space="0" w:color="auto"/>
              <w:bottom w:val="nil"/>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single" w:sz="4" w:space="0" w:color="auto"/>
              <w:left w:val="nil"/>
              <w:bottom w:val="double" w:sz="6"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Default="001670EC">
            <w:pPr>
              <w:jc w:val="center"/>
              <w:rPr>
                <w:b/>
                <w:bCs/>
                <w:color w:val="000000"/>
                <w:sz w:val="16"/>
                <w:szCs w:val="16"/>
              </w:rPr>
            </w:pPr>
          </w:p>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Pertussis Cases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Pneumonia/flu Hospitalizations Ages 65 Plus per 100,000 Population Age 65 Plus,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138.8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150.1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140.1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127.9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center"/>
          </w:tcPr>
          <w:p w:rsidR="001670EC" w:rsidRPr="00680D98" w:rsidRDefault="001670EC">
            <w:pPr>
              <w:rPr>
                <w:color w:val="000000"/>
                <w:sz w:val="16"/>
                <w:szCs w:val="16"/>
              </w:rPr>
            </w:pPr>
            <w:r w:rsidRPr="00680D98">
              <w:rPr>
                <w:color w:val="000000"/>
                <w:sz w:val="16"/>
                <w:szCs w:val="16"/>
              </w:rPr>
              <w:t>3. Percent of Adults Ages 65 Plus Ever Received a Pneumonia Shot, '08/09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64.7%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Mumps Cases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5.5</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Meningococcal Cases per 100,000 Population, '08 - 10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H Influenza Cases per 100,000 Population, '08 - 10</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Vaccine Preventable Diseases</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tcBorders>
              <w:top w:val="nil"/>
              <w:left w:val="nil"/>
              <w:bottom w:val="nil"/>
              <w:right w:val="nil"/>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double" w:sz="6"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double" w:sz="6"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double" w:sz="6"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double" w:sz="6"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double" w:sz="6"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double" w:sz="6"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double" w:sz="6" w:space="0" w:color="auto"/>
              <w:right w:val="single" w:sz="8" w:space="0" w:color="auto"/>
            </w:tcBorders>
            <w:shd w:val="clear" w:color="000000" w:fill="A5A5A5"/>
            <w:tcMar>
              <w:top w:w="12" w:type="dxa"/>
              <w:left w:w="12" w:type="dxa"/>
              <w:bottom w:w="0" w:type="dxa"/>
              <w:right w:w="12" w:type="dxa"/>
            </w:tcMar>
            <w:vAlign w:val="bottom"/>
          </w:tcPr>
          <w:p w:rsidR="001670EC" w:rsidRPr="003311B5" w:rsidRDefault="001670EC">
            <w:pPr>
              <w:rPr>
                <w:color w:val="000000"/>
              </w:rPr>
            </w:pPr>
            <w:r w:rsidRPr="00680D98">
              <w:rPr>
                <w:color w:val="000000"/>
                <w:sz w:val="16"/>
                <w:szCs w:val="16"/>
              </w:rPr>
              <w:t> </w:t>
            </w:r>
            <w:r w:rsidRPr="003311B5">
              <w:rPr>
                <w:b/>
                <w:bCs/>
                <w:color w:val="000000"/>
              </w:rPr>
              <w:t>Focus Area: Healthcare Associated Infections</w:t>
            </w: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double" w:sz="6"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double" w:sz="6"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double" w:sz="6"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double" w:sz="6"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gridSpan w:val="7"/>
            <w:tcBorders>
              <w:top w:val="single" w:sz="4" w:space="0" w:color="auto"/>
              <w:left w:val="single" w:sz="8" w:space="0" w:color="auto"/>
              <w:bottom w:val="single" w:sz="4" w:space="0" w:color="auto"/>
              <w:right w:val="nil"/>
            </w:tcBorders>
            <w:shd w:val="clear" w:color="000000" w:fill="BFBFBF"/>
            <w:tcMar>
              <w:top w:w="12" w:type="dxa"/>
              <w:left w:w="12" w:type="dxa"/>
              <w:bottom w:w="0" w:type="dxa"/>
              <w:right w:w="12" w:type="dxa"/>
            </w:tcMar>
            <w:vAlign w:val="bottom"/>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Hospital Onset CDIs per 10,000 Patient Days,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8.5</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5.94</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20"/>
        </w:trPr>
        <w:tc>
          <w:tcPr>
            <w:tcW w:w="0" w:type="auto"/>
            <w:tcBorders>
              <w:top w:val="nil"/>
              <w:left w:val="single" w:sz="8" w:space="0" w:color="auto"/>
              <w:bottom w:val="single" w:sz="4" w:space="0" w:color="auto"/>
              <w:right w:val="nil"/>
            </w:tcBorders>
            <w:tcMar>
              <w:top w:w="12" w:type="dxa"/>
              <w:left w:w="12" w:type="dxa"/>
              <w:bottom w:w="0" w:type="dxa"/>
              <w:right w:w="12" w:type="dxa"/>
            </w:tcMar>
            <w:vAlign w:val="center"/>
          </w:tcPr>
          <w:p w:rsidR="001670EC" w:rsidRPr="00680D98" w:rsidRDefault="001670EC">
            <w:pPr>
              <w:rPr>
                <w:color w:val="000000"/>
                <w:sz w:val="16"/>
                <w:szCs w:val="16"/>
              </w:rPr>
            </w:pPr>
            <w:r w:rsidRPr="00680D98">
              <w:rPr>
                <w:color w:val="000000"/>
                <w:sz w:val="16"/>
                <w:szCs w:val="16"/>
              </w:rPr>
              <w:t>2. Rate of Community Onset, Healthcare Facility Associated CDIs per 10,000 Patient Days, 2011</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2.05</w:t>
            </w:r>
          </w:p>
        </w:tc>
        <w:tc>
          <w:tcPr>
            <w:tcW w:w="0" w:type="auto"/>
            <w:tcBorders>
              <w:top w:val="single" w:sz="4" w:space="0" w:color="BFBFBF"/>
              <w:left w:val="single" w:sz="8" w:space="0" w:color="auto"/>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12"/>
        </w:trPr>
        <w:tc>
          <w:tcPr>
            <w:tcW w:w="0" w:type="auto"/>
            <w:gridSpan w:val="7"/>
            <w:tcBorders>
              <w:top w:val="double" w:sz="6" w:space="0" w:color="auto"/>
              <w:left w:val="single" w:sz="8" w:space="0" w:color="auto"/>
              <w:bottom w:val="double" w:sz="6"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Healthcare Associated Infections</w:t>
            </w: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val="restart"/>
            <w:tcBorders>
              <w:top w:val="single" w:sz="8" w:space="0" w:color="auto"/>
              <w:left w:val="single" w:sz="8" w:space="0" w:color="auto"/>
              <w:bottom w:val="double" w:sz="6"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double" w:sz="6"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double" w:sz="6"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double" w:sz="6"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double" w:sz="6"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double" w:sz="6" w:space="0" w:color="000000"/>
              <w:right w:val="nil"/>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300"/>
        </w:trPr>
        <w:tc>
          <w:tcPr>
            <w:tcW w:w="0" w:type="auto"/>
            <w:tcBorders>
              <w:top w:val="nil"/>
              <w:left w:val="single" w:sz="8" w:space="0" w:color="auto"/>
              <w:bottom w:val="double" w:sz="6" w:space="0" w:color="auto"/>
              <w:right w:val="single" w:sz="8" w:space="0" w:color="auto"/>
            </w:tcBorders>
            <w:shd w:val="clear" w:color="000000" w:fill="A5A5A5"/>
            <w:tcMar>
              <w:top w:w="12" w:type="dxa"/>
              <w:left w:w="12" w:type="dxa"/>
              <w:bottom w:w="0" w:type="dxa"/>
              <w:right w:w="12" w:type="dxa"/>
            </w:tcMar>
            <w:vAlign w:val="bottom"/>
          </w:tcPr>
          <w:p w:rsidR="001670EC" w:rsidRPr="00954671" w:rsidRDefault="001670EC">
            <w:pPr>
              <w:rPr>
                <w:color w:val="000000"/>
              </w:rPr>
            </w:pPr>
            <w:r w:rsidRPr="00680D98">
              <w:rPr>
                <w:color w:val="000000"/>
                <w:sz w:val="16"/>
                <w:szCs w:val="16"/>
              </w:rPr>
              <w:t> </w:t>
            </w:r>
            <w:r w:rsidRPr="00954671">
              <w:rPr>
                <w:b/>
                <w:bCs/>
                <w:color w:val="000000"/>
              </w:rPr>
              <w:t>Focus Area: Prevent Substance Abuse and Other Mental, Emotional, and Behavioral Disorders</w:t>
            </w: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double" w:sz="6"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double" w:sz="6"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double" w:sz="6"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double" w:sz="6" w:space="0" w:color="000000"/>
              <w:right w:val="nil"/>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Prevention Agenda Indicators</w:t>
            </w:r>
          </w:p>
        </w:tc>
        <w:tc>
          <w:tcPr>
            <w:tcW w:w="0" w:type="auto"/>
            <w:gridSpan w:val="6"/>
            <w:tcBorders>
              <w:top w:val="single" w:sz="4"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31631C">
        <w:trPr>
          <w:trHeight w:val="288"/>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Percent of Adults Binge Drinking within the Last Month, '08/09</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19.7%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21.1%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18.1%</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17.6%</w:t>
            </w:r>
          </w:p>
        </w:tc>
        <w:tc>
          <w:tcPr>
            <w:tcW w:w="0" w:type="auto"/>
            <w:tcBorders>
              <w:top w:val="nil"/>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shd w:val="clear" w:color="000000" w:fill="FFFFFF"/>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Percent of Adults with Poor Mental Health (14 or More Days) in the Last Month, '08/09</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14.2%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10.1%</w:t>
            </w:r>
          </w:p>
        </w:tc>
        <w:tc>
          <w:tcPr>
            <w:tcW w:w="0" w:type="auto"/>
            <w:tcBorders>
              <w:top w:val="single" w:sz="4" w:space="0" w:color="BFBFBF"/>
              <w:left w:val="single" w:sz="8" w:space="0" w:color="auto"/>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Age Adjusted Suicides per 100,000 Adjusted Population, '08 - 10</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6.8</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5.9</w:t>
            </w:r>
          </w:p>
        </w:tc>
        <w:tc>
          <w:tcPr>
            <w:tcW w:w="0" w:type="auto"/>
            <w:tcBorders>
              <w:top w:val="single" w:sz="4" w:space="0" w:color="BFBFBF"/>
              <w:left w:val="single" w:sz="8" w:space="0" w:color="auto"/>
              <w:bottom w:val="single" w:sz="4" w:space="0" w:color="auto"/>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300"/>
        </w:trPr>
        <w:tc>
          <w:tcPr>
            <w:tcW w:w="0" w:type="auto"/>
            <w:gridSpan w:val="6"/>
            <w:tcBorders>
              <w:top w:val="single" w:sz="4" w:space="0" w:color="auto"/>
              <w:left w:val="single" w:sz="8" w:space="0" w:color="auto"/>
              <w:bottom w:val="single" w:sz="8"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Prevention Agenda Indicators</w:t>
            </w:r>
          </w:p>
        </w:tc>
        <w:tc>
          <w:tcPr>
            <w:tcW w:w="0" w:type="auto"/>
            <w:tcBorders>
              <w:top w:val="nil"/>
              <w:left w:val="nil"/>
              <w:bottom w:val="single" w:sz="8" w:space="0" w:color="auto"/>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double" w:sz="6" w:space="0" w:color="auto"/>
              <w:left w:val="single" w:sz="8" w:space="0" w:color="auto"/>
              <w:bottom w:val="single" w:sz="4" w:space="0" w:color="auto"/>
              <w:right w:val="nil"/>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Indicators</w:t>
            </w:r>
          </w:p>
        </w:tc>
        <w:tc>
          <w:tcPr>
            <w:tcW w:w="0" w:type="auto"/>
            <w:gridSpan w:val="6"/>
            <w:tcBorders>
              <w:top w:val="double" w:sz="6" w:space="0" w:color="auto"/>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Suicides for Ages 15 - 19 per 100,000 Population Ages 15 - 19,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Self-inflicted Hospitalizations 10,000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Self-inflicted Hospitalizations for Ages 15 - 19 per 10,000 Population Ages 15 - 19,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11.0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9.7</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Cirrhosis Deaths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5. Rate of Cirrhosis Hospitalizations per 10,000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Alcohol-Related Accidents per 100,000 Population, '09 - 11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92.1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67.4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7. Percentage of Alcohol-Related Crashes to Total Accidents, 09 - 11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Rate of Alcohol-Related Injuries and Deaths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69.4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59.1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36.2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300"/>
        </w:trPr>
        <w:tc>
          <w:tcPr>
            <w:tcW w:w="0" w:type="auto"/>
            <w:tcBorders>
              <w:top w:val="nil"/>
              <w:left w:val="single" w:sz="8" w:space="0" w:color="auto"/>
              <w:bottom w:val="single" w:sz="8" w:space="0" w:color="D8D8D8"/>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Drug-Related Hospitalizations per 10,000 Population, '08 - 10</w:t>
            </w:r>
          </w:p>
        </w:tc>
        <w:tc>
          <w:tcPr>
            <w:tcW w:w="0" w:type="auto"/>
            <w:tcBorders>
              <w:top w:val="nil"/>
              <w:left w:val="single" w:sz="8" w:space="0" w:color="auto"/>
              <w:bottom w:val="single" w:sz="8"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20.9</w:t>
            </w:r>
          </w:p>
        </w:tc>
        <w:tc>
          <w:tcPr>
            <w:tcW w:w="0" w:type="auto"/>
            <w:tcBorders>
              <w:top w:val="nil"/>
              <w:left w:val="nil"/>
              <w:bottom w:val="single" w:sz="8"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18.1</w:t>
            </w:r>
          </w:p>
        </w:tc>
        <w:tc>
          <w:tcPr>
            <w:tcW w:w="0" w:type="auto"/>
            <w:tcBorders>
              <w:top w:val="nil"/>
              <w:left w:val="nil"/>
              <w:bottom w:val="single" w:sz="8"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21.2</w:t>
            </w:r>
          </w:p>
        </w:tc>
        <w:tc>
          <w:tcPr>
            <w:tcW w:w="0" w:type="auto"/>
            <w:tcBorders>
              <w:top w:val="nil"/>
              <w:left w:val="nil"/>
              <w:bottom w:val="single" w:sz="8" w:space="0" w:color="D8D8D8"/>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27.3</w:t>
            </w:r>
          </w:p>
        </w:tc>
        <w:tc>
          <w:tcPr>
            <w:tcW w:w="0" w:type="auto"/>
            <w:tcBorders>
              <w:top w:val="nil"/>
              <w:left w:val="nil"/>
              <w:bottom w:val="single" w:sz="8"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8" w:space="0" w:color="D8D8D8"/>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10. Rate of People Served in Mental Health Outpatient Settings Ages 8 and Below per 100,000 Population Ages 8 and Below,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774.0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338.7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278.5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319.4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8" w:space="0" w:color="D8D8D8"/>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11. Rate of People Served in Mental Health Outpatient Settings Ages 9 - 17 per 100,000 Population Ages 9 - 17,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2,418.0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928.9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829.9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973.0</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12. Rate of People Served in Mental Health Outpatient Settings Ages 18 - 64 per 100,000 Population Ages 18 - 64,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1,098.0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452.0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596.5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678.9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31631C">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13. Rate of People Served in Mental Health Outpatient Settings Ages 65 Plus per 100,000 Population Ages 65 Plus,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181.0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101.6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174.2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300.2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00"/>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Worse</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14. Rate of People Served in ED for Mental Health Ages 8 and Below per 100,000 Population Ages 8 and Below,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5.8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15. Rate of People Served in ED for Mental Health Ages 9 - 17 per 100,000 Population Ages 9 - 17,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15.9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34.9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37.8</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16. Rate of People Served in ED for Mental Health Ages 18 - 64 per 100,000 Population Ages 18 - 64,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9.6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23.9</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17.Rate of People Served in ED for Mental Health Ages 65 Plus per 100,000 Population Ages 65 Plus,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18. Percentage of Children Ages 9 - 17 with Serious Emotional Disturbances (SED) Served to Total SED Children Ages 9 - 17,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7.7%</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8.4%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19. Percentage of Adults Ages 18 - 64 with Serious Mental Illness (SMI) Served, 2011</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23.0%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14.6%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16.3%</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20. Percentage of Adults Ages 65 Plus with Serious Mental Illness (SMI) Served, 2011</w:t>
            </w:r>
          </w:p>
        </w:tc>
        <w:tc>
          <w:tcPr>
            <w:tcW w:w="0" w:type="auto"/>
            <w:tcBorders>
              <w:top w:val="nil"/>
              <w:left w:val="single" w:sz="8" w:space="0" w:color="auto"/>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6.3%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3.0%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7.2%</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300"/>
        </w:trPr>
        <w:tc>
          <w:tcPr>
            <w:tcW w:w="0" w:type="auto"/>
            <w:gridSpan w:val="6"/>
            <w:tcBorders>
              <w:top w:val="single" w:sz="4" w:space="0" w:color="auto"/>
              <w:left w:val="single" w:sz="8" w:space="0" w:color="auto"/>
              <w:bottom w:val="double" w:sz="6" w:space="0" w:color="auto"/>
              <w:right w:val="single" w:sz="8" w:space="0" w:color="000000"/>
            </w:tcBorders>
            <w:shd w:val="clear" w:color="000000" w:fill="BFBFB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12"/>
        </w:trPr>
        <w:tc>
          <w:tcPr>
            <w:tcW w:w="0" w:type="auto"/>
            <w:gridSpan w:val="6"/>
            <w:tcBorders>
              <w:top w:val="double" w:sz="6" w:space="0" w:color="auto"/>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Focus Area: Prevent Substance Abuse and Other Mental, Emotional, and Behavioral Disorders</w:t>
            </w:r>
          </w:p>
        </w:tc>
        <w:tc>
          <w:tcPr>
            <w:tcW w:w="0" w:type="auto"/>
            <w:tcBorders>
              <w:top w:val="double" w:sz="6" w:space="0" w:color="auto"/>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r w:rsidR="001670EC" w:rsidRPr="00680D98" w:rsidTr="001B4648">
        <w:trPr>
          <w:trHeight w:val="300"/>
        </w:trPr>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jc w:val="center"/>
              <w:rPr>
                <w:b/>
                <w:bCs/>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tcMar>
              <w:top w:w="12" w:type="dxa"/>
              <w:left w:w="12" w:type="dxa"/>
              <w:bottom w:w="0" w:type="dxa"/>
              <w:right w:w="12" w:type="dxa"/>
            </w:tcMar>
            <w:vAlign w:val="bottom"/>
          </w:tcPr>
          <w:p w:rsidR="001670EC" w:rsidRPr="00680D98" w:rsidRDefault="001670EC">
            <w:pPr>
              <w:rPr>
                <w:color w:val="000000"/>
                <w:sz w:val="16"/>
                <w:szCs w:val="16"/>
              </w:rPr>
            </w:pPr>
          </w:p>
        </w:tc>
        <w:tc>
          <w:tcPr>
            <w:tcW w:w="0" w:type="auto"/>
            <w:tcBorders>
              <w:top w:val="nil"/>
              <w:left w:val="nil"/>
              <w:bottom w:val="nil"/>
              <w:right w:val="nil"/>
            </w:tcBorders>
            <w:noWrap/>
            <w:tcMar>
              <w:top w:w="12" w:type="dxa"/>
              <w:left w:w="12" w:type="dxa"/>
              <w:bottom w:w="0" w:type="dxa"/>
              <w:right w:w="12" w:type="dxa"/>
            </w:tcMar>
            <w:vAlign w:val="bottom"/>
          </w:tcPr>
          <w:p w:rsidR="001670EC" w:rsidRPr="00680D98" w:rsidRDefault="001670EC">
            <w:pPr>
              <w:jc w:val="center"/>
              <w:rPr>
                <w:color w:val="000000"/>
                <w:sz w:val="16"/>
                <w:szCs w:val="16"/>
              </w:rPr>
            </w:pPr>
          </w:p>
        </w:tc>
      </w:tr>
      <w:tr w:rsidR="001670EC" w:rsidRPr="00680D98" w:rsidTr="001B4648">
        <w:trPr>
          <w:trHeight w:val="288"/>
        </w:trPr>
        <w:tc>
          <w:tcPr>
            <w:tcW w:w="0" w:type="auto"/>
            <w:tcBorders>
              <w:top w:val="single" w:sz="8" w:space="0" w:color="auto"/>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Average Rate, Ratio or Percentage for the Listed Years</w:t>
            </w:r>
          </w:p>
        </w:tc>
        <w:tc>
          <w:tcPr>
            <w:tcW w:w="0" w:type="auto"/>
            <w:gridSpan w:val="4"/>
            <w:tcBorders>
              <w:top w:val="single" w:sz="8" w:space="0" w:color="auto"/>
              <w:left w:val="nil"/>
              <w:bottom w:val="single" w:sz="4"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Regions/Data</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Comparison to Benchmark</w:t>
            </w:r>
          </w:p>
        </w:tc>
      </w:tr>
      <w:tr w:rsidR="001670EC" w:rsidRPr="00680D98" w:rsidTr="001B4648">
        <w:trPr>
          <w:trHeight w:val="288"/>
        </w:trPr>
        <w:tc>
          <w:tcPr>
            <w:tcW w:w="0" w:type="auto"/>
            <w:tcBorders>
              <w:top w:val="nil"/>
              <w:left w:val="single" w:sz="8" w:space="0" w:color="auto"/>
              <w:bottom w:val="nil"/>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ARHN</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Upstate NY</w:t>
            </w:r>
          </w:p>
        </w:tc>
        <w:tc>
          <w:tcPr>
            <w:tcW w:w="0" w:type="auto"/>
            <w:vMerge w:val="restart"/>
            <w:tcBorders>
              <w:top w:val="nil"/>
              <w:left w:val="single" w:sz="4" w:space="0" w:color="auto"/>
              <w:bottom w:val="single" w:sz="4" w:space="0" w:color="000000"/>
              <w:right w:val="single" w:sz="4"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New York State</w:t>
            </w:r>
          </w:p>
        </w:tc>
        <w:tc>
          <w:tcPr>
            <w:tcW w:w="0" w:type="auto"/>
            <w:vMerge w:val="restart"/>
            <w:tcBorders>
              <w:top w:val="nil"/>
              <w:left w:val="single" w:sz="4" w:space="0" w:color="auto"/>
              <w:bottom w:val="single" w:sz="4" w:space="0" w:color="000000"/>
              <w:right w:val="single" w:sz="8" w:space="0" w:color="auto"/>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A5A5A5"/>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680D98" w:rsidRDefault="001670EC">
            <w:pPr>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680D98" w:rsidRDefault="001670EC">
            <w:pP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680D98" w:rsidRDefault="001670EC">
            <w:pPr>
              <w:rPr>
                <w:b/>
                <w:bCs/>
                <w:color w:val="000000"/>
                <w:sz w:val="16"/>
                <w:szCs w:val="16"/>
              </w:rPr>
            </w:pPr>
          </w:p>
        </w:tc>
      </w:tr>
      <w:tr w:rsidR="001670EC" w:rsidRPr="00680D98" w:rsidTr="001B4648">
        <w:trPr>
          <w:trHeight w:val="288"/>
        </w:trPr>
        <w:tc>
          <w:tcPr>
            <w:tcW w:w="0" w:type="auto"/>
            <w:tcBorders>
              <w:top w:val="nil"/>
              <w:left w:val="single" w:sz="8" w:space="0" w:color="auto"/>
              <w:bottom w:val="single" w:sz="4" w:space="0" w:color="auto"/>
              <w:right w:val="single" w:sz="8" w:space="0" w:color="auto"/>
            </w:tcBorders>
            <w:shd w:val="clear" w:color="000000" w:fill="FFFFFF"/>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Other Non-Prevention Agenda Indicators</w:t>
            </w:r>
          </w:p>
        </w:tc>
        <w:tc>
          <w:tcPr>
            <w:tcW w:w="0" w:type="auto"/>
            <w:gridSpan w:val="6"/>
            <w:tcBorders>
              <w:top w:val="nil"/>
              <w:left w:val="nil"/>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1. Rate of Hepatitis A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2. Rate of Acute Hepatitis B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0.8</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3. Rate of TB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2.4</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4. Rate of e. Coli 157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0.6</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5. Rate of Salmonella Cases per 100,000 Population, '08 - 10 </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12.3</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12.9</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13.9</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6. Rate of Shigella Cases per 100,000 Population, '08 - 10</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0.8</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3.2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 xml:space="preserve">7. Rate of Lyme Disease Cases per 100,000 Population, '08 - 10 </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11.5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108.1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66.2</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42.4</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Meets/Better</w:t>
            </w:r>
          </w:p>
        </w:tc>
      </w:tr>
      <w:tr w:rsidR="001670EC" w:rsidRPr="00680D98" w:rsidTr="001B4648">
        <w:trPr>
          <w:trHeight w:val="288"/>
        </w:trPr>
        <w:tc>
          <w:tcPr>
            <w:tcW w:w="0" w:type="auto"/>
            <w:tcBorders>
              <w:top w:val="nil"/>
              <w:left w:val="single" w:sz="8" w:space="0" w:color="auto"/>
              <w:bottom w:val="single" w:sz="4" w:space="0" w:color="BFBFBF"/>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8. Rate of Confirmed Rabies Cases per 100,000 Population, ' 08 - 10</w:t>
            </w:r>
          </w:p>
        </w:tc>
        <w:tc>
          <w:tcPr>
            <w:tcW w:w="0" w:type="auto"/>
            <w:tcBorders>
              <w:top w:val="nil"/>
              <w:left w:val="nil"/>
              <w:bottom w:val="single" w:sz="4" w:space="0" w:color="BFBFBF"/>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1.8</w:t>
            </w:r>
          </w:p>
        </w:tc>
        <w:tc>
          <w:tcPr>
            <w:tcW w:w="0" w:type="auto"/>
            <w:tcBorders>
              <w:top w:val="nil"/>
              <w:left w:val="single" w:sz="8" w:space="0" w:color="auto"/>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5.5</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4.1</w:t>
            </w:r>
          </w:p>
        </w:tc>
        <w:tc>
          <w:tcPr>
            <w:tcW w:w="0" w:type="auto"/>
            <w:tcBorders>
              <w:top w:val="nil"/>
              <w:left w:val="nil"/>
              <w:bottom w:val="single" w:sz="4" w:space="0" w:color="BFBFBF"/>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2.4</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432"/>
        </w:trPr>
        <w:tc>
          <w:tcPr>
            <w:tcW w:w="0" w:type="auto"/>
            <w:tcBorders>
              <w:top w:val="nil"/>
              <w:left w:val="single" w:sz="8" w:space="0" w:color="auto"/>
              <w:bottom w:val="single" w:sz="4" w:space="0" w:color="auto"/>
              <w:right w:val="nil"/>
            </w:tcBorders>
            <w:tcMar>
              <w:top w:w="12" w:type="dxa"/>
              <w:left w:w="12" w:type="dxa"/>
              <w:bottom w:w="0" w:type="dxa"/>
              <w:right w:w="12" w:type="dxa"/>
            </w:tcMar>
            <w:vAlign w:val="bottom"/>
          </w:tcPr>
          <w:p w:rsidR="001670EC" w:rsidRPr="00680D98" w:rsidRDefault="001670EC">
            <w:pPr>
              <w:rPr>
                <w:color w:val="000000"/>
                <w:sz w:val="16"/>
                <w:szCs w:val="16"/>
              </w:rPr>
            </w:pPr>
            <w:r w:rsidRPr="00680D98">
              <w:rPr>
                <w:color w:val="000000"/>
                <w:sz w:val="16"/>
                <w:szCs w:val="16"/>
              </w:rPr>
              <w:t>9. Rate of Confirmed West Nile Virus Cases (Humans, Horses, Other Animals, Mosquito Pools) per 100,000 Population, '08 - 10</w:t>
            </w:r>
          </w:p>
        </w:tc>
        <w:tc>
          <w:tcPr>
            <w:tcW w:w="0" w:type="auto"/>
            <w:tcBorders>
              <w:top w:val="nil"/>
              <w:left w:val="nil"/>
              <w:bottom w:val="single" w:sz="4" w:space="0" w:color="auto"/>
              <w:right w:val="nil"/>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0.0</w:t>
            </w:r>
          </w:p>
        </w:tc>
        <w:tc>
          <w:tcPr>
            <w:tcW w:w="0" w:type="auto"/>
            <w:tcBorders>
              <w:top w:val="nil"/>
              <w:left w:val="single" w:sz="8" w:space="0" w:color="auto"/>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0.1</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b/>
                <w:bCs/>
                <w:color w:val="000000"/>
                <w:sz w:val="16"/>
                <w:szCs w:val="16"/>
              </w:rPr>
            </w:pPr>
            <w:r w:rsidRPr="00680D98">
              <w:rPr>
                <w:b/>
                <w:bCs/>
                <w:color w:val="000000"/>
                <w:sz w:val="16"/>
                <w:szCs w:val="16"/>
              </w:rPr>
              <w:t>2.7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2.6</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right"/>
              <w:rPr>
                <w:color w:val="000000"/>
                <w:sz w:val="16"/>
                <w:szCs w:val="16"/>
              </w:rPr>
            </w:pPr>
            <w:r w:rsidRPr="00680D98">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Less than 10</w:t>
            </w:r>
          </w:p>
        </w:tc>
      </w:tr>
      <w:tr w:rsidR="001670EC" w:rsidRPr="00680D98" w:rsidTr="001B4648">
        <w:trPr>
          <w:trHeight w:val="300"/>
        </w:trPr>
        <w:tc>
          <w:tcPr>
            <w:tcW w:w="0" w:type="auto"/>
            <w:gridSpan w:val="6"/>
            <w:tcBorders>
              <w:top w:val="nil"/>
              <w:left w:val="single" w:sz="8" w:space="0" w:color="auto"/>
              <w:bottom w:val="single" w:sz="8" w:space="0" w:color="auto"/>
              <w:right w:val="single" w:sz="8" w:space="0" w:color="000000"/>
            </w:tcBorders>
            <w:shd w:val="clear" w:color="000000" w:fill="A5A5A5"/>
            <w:tcMar>
              <w:top w:w="12" w:type="dxa"/>
              <w:left w:w="12" w:type="dxa"/>
              <w:bottom w:w="0" w:type="dxa"/>
              <w:right w:w="12" w:type="dxa"/>
            </w:tcMar>
            <w:vAlign w:val="bottom"/>
          </w:tcPr>
          <w:p w:rsidR="001670EC" w:rsidRPr="00680D98" w:rsidRDefault="001670EC">
            <w:pPr>
              <w:jc w:val="center"/>
              <w:rPr>
                <w:b/>
                <w:bCs/>
                <w:color w:val="000000"/>
                <w:sz w:val="16"/>
                <w:szCs w:val="16"/>
              </w:rPr>
            </w:pPr>
            <w:r w:rsidRPr="00680D98">
              <w:rPr>
                <w:b/>
                <w:bCs/>
                <w:color w:val="000000"/>
                <w:sz w:val="16"/>
                <w:szCs w:val="16"/>
              </w:rPr>
              <w:t>Quartile Summary for Non-Prevention Agenda Issues</w:t>
            </w:r>
          </w:p>
        </w:tc>
        <w:tc>
          <w:tcPr>
            <w:tcW w:w="0" w:type="auto"/>
            <w:tcBorders>
              <w:top w:val="nil"/>
              <w:left w:val="nil"/>
              <w:bottom w:val="single" w:sz="8" w:space="0" w:color="auto"/>
              <w:right w:val="nil"/>
            </w:tcBorders>
            <w:shd w:val="clear" w:color="000000" w:fill="A5A5A5"/>
            <w:noWrap/>
            <w:tcMar>
              <w:top w:w="12" w:type="dxa"/>
              <w:left w:w="12" w:type="dxa"/>
              <w:bottom w:w="0" w:type="dxa"/>
              <w:right w:w="12" w:type="dxa"/>
            </w:tcMar>
            <w:vAlign w:val="bottom"/>
          </w:tcPr>
          <w:p w:rsidR="001670EC" w:rsidRPr="00680D98" w:rsidRDefault="001670EC">
            <w:pPr>
              <w:jc w:val="center"/>
              <w:rPr>
                <w:color w:val="000000"/>
                <w:sz w:val="16"/>
                <w:szCs w:val="16"/>
              </w:rPr>
            </w:pPr>
            <w:r w:rsidRPr="00680D98">
              <w:rPr>
                <w:color w:val="000000"/>
                <w:sz w:val="16"/>
                <w:szCs w:val="16"/>
              </w:rPr>
              <w:t> </w:t>
            </w:r>
          </w:p>
        </w:tc>
      </w:tr>
    </w:tbl>
    <w:p w:rsidR="001670EC" w:rsidRDefault="001670EC">
      <w:r>
        <w:t xml:space="preserve"> </w:t>
      </w:r>
    </w:p>
    <w:p w:rsidR="001670EC" w:rsidRDefault="001670EC"/>
    <w:p w:rsidR="001670EC" w:rsidRDefault="001670EC"/>
    <w:p w:rsidR="001670EC" w:rsidRPr="00F06E40" w:rsidRDefault="001670EC">
      <w:pPr>
        <w:rPr>
          <w:sz w:val="16"/>
          <w:szCs w:val="16"/>
        </w:rPr>
      </w:pPr>
    </w:p>
    <w:p w:rsidR="001670EC" w:rsidRDefault="001670EC" w:rsidP="001D4CE0">
      <w:pPr>
        <w:pStyle w:val="Heading2"/>
      </w:pPr>
      <w:bookmarkStart w:id="41" w:name="_Toc355250985"/>
      <w:r w:rsidRPr="005D1EA2">
        <w:t xml:space="preserve">Table </w:t>
      </w:r>
      <w:r>
        <w:t>8</w:t>
      </w:r>
      <w:r w:rsidRPr="005D1EA2">
        <w:t xml:space="preserve">: </w:t>
      </w:r>
      <w:r>
        <w:t>Health Indicator Data Analysis</w:t>
      </w:r>
      <w:bookmarkEnd w:id="41"/>
    </w:p>
    <w:tbl>
      <w:tblPr>
        <w:tblW w:w="0" w:type="auto"/>
        <w:tblInd w:w="96" w:type="dxa"/>
        <w:tblLook w:val="00A0"/>
      </w:tblPr>
      <w:tblGrid>
        <w:gridCol w:w="3758"/>
        <w:gridCol w:w="1220"/>
        <w:gridCol w:w="1233"/>
        <w:gridCol w:w="407"/>
        <w:gridCol w:w="407"/>
        <w:gridCol w:w="407"/>
        <w:gridCol w:w="407"/>
        <w:gridCol w:w="824"/>
        <w:gridCol w:w="817"/>
      </w:tblGrid>
      <w:tr w:rsidR="001670EC" w:rsidRPr="00680D98" w:rsidTr="004944D9">
        <w:trPr>
          <w:trHeight w:val="288"/>
        </w:trPr>
        <w:tc>
          <w:tcPr>
            <w:tcW w:w="0" w:type="auto"/>
            <w:tcBorders>
              <w:top w:val="nil"/>
              <w:left w:val="nil"/>
              <w:bottom w:val="nil"/>
              <w:right w:val="nil"/>
            </w:tcBorders>
            <w:vAlign w:val="bottom"/>
          </w:tcPr>
          <w:p w:rsidR="001670EC" w:rsidRPr="004944D9" w:rsidRDefault="001670EC" w:rsidP="004944D9">
            <w:pPr>
              <w:spacing w:after="0" w:line="240" w:lineRule="auto"/>
              <w:rPr>
                <w:b/>
                <w:bCs/>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jc w:val="center"/>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Disparities</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single" w:sz="4" w:space="0" w:color="auto"/>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Overall Premature Deaths (Ages 35 - 64),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21.8%</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Ratio of Black, Non-Hispanic Premature Deaths (Ages 35 - 64) to White, Non-Hispanic Premature Deaths,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1.87</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Ratio of Hispanic/Latino Premature Deaths (Ages 35 - 64) to White, Non-Hispanic Premature Deaths,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1.86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Adult Age-Adjusted Preventable Hospitalizations per 100,000 Population (Ages 18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133.3</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5. Ratio of Black, Non-Hispanic Adult Age-Adjusted Preventable Hospitalizations to White, Non-Hispanic,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1.85</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6. Ratio of Hispanic/Latino Adult Age-Adjusted Preventable Hospitalizations to White, Non-Hispanic,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1.38</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7. Percentage of Adults ( Ages 18 - 64) with Health Insurance,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100.0%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8. Percentage of Adults with Regular Health Care Provider, '08/09</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90.8%</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50.0%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Disparity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Total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Total Deaths per 100,000 Adjusted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Emergency Department Visits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Emergency Department Visits per 10,000 Adjusted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Total Hospital Discharges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Total Hospital Discharges per 10,000 Adjusted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7. Percentage of Adults (18 and Older) Who Did Not Receive Care Due to Costs, '08/09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8. % of Adults (18 and Older) with Poor Physical Health, '08/09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9. % of Adults (18 and Older) with Physical Limitations, '08/09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10. % of Adults (18 and Older) with Health Problems that Need Special Equipment, '08/09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11. Percentage of Adults (18 and Older) with Disabilities, '08/09</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90.9%</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w:t>
            </w:r>
          </w:p>
        </w:tc>
      </w:tr>
      <w:tr w:rsidR="001670EC" w:rsidRPr="00680D98" w:rsidTr="004944D9">
        <w:trPr>
          <w:trHeight w:val="288"/>
        </w:trPr>
        <w:tc>
          <w:tcPr>
            <w:tcW w:w="0" w:type="auto"/>
            <w:gridSpan w:val="2"/>
            <w:tcBorders>
              <w:top w:val="double" w:sz="6" w:space="0" w:color="auto"/>
              <w:left w:val="single" w:sz="8" w:space="0" w:color="auto"/>
              <w:bottom w:val="nil"/>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Disparities</w:t>
            </w:r>
          </w:p>
        </w:tc>
        <w:tc>
          <w:tcPr>
            <w:tcW w:w="0" w:type="auto"/>
            <w:tcBorders>
              <w:top w:val="double" w:sz="6" w:space="0" w:color="auto"/>
              <w:left w:val="nil"/>
              <w:bottom w:val="nil"/>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nil"/>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w:t>
            </w:r>
          </w:p>
        </w:tc>
        <w:tc>
          <w:tcPr>
            <w:tcW w:w="0" w:type="auto"/>
            <w:tcBorders>
              <w:top w:val="double" w:sz="6"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double" w:sz="6"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73.7%</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7.1%</w:t>
            </w:r>
          </w:p>
        </w:tc>
      </w:tr>
      <w:tr w:rsidR="001670EC" w:rsidRPr="00680D98" w:rsidTr="004944D9">
        <w:trPr>
          <w:trHeight w:val="288"/>
        </w:trPr>
        <w:tc>
          <w:tcPr>
            <w:tcW w:w="0" w:type="auto"/>
            <w:tcBorders>
              <w:top w:val="nil"/>
              <w:left w:val="nil"/>
              <w:bottom w:val="nil"/>
              <w:right w:val="nil"/>
            </w:tcBorders>
            <w:vAlign w:val="bottom"/>
          </w:tcPr>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Pr="004944D9" w:rsidRDefault="001670EC" w:rsidP="004944D9">
            <w:pPr>
              <w:spacing w:after="0" w:line="240" w:lineRule="auto"/>
              <w:jc w:val="center"/>
              <w:rPr>
                <w:b/>
                <w:bCs/>
                <w:color w:val="000000"/>
                <w:sz w:val="16"/>
                <w:szCs w:val="16"/>
              </w:rPr>
            </w:pPr>
          </w:p>
        </w:tc>
        <w:tc>
          <w:tcPr>
            <w:tcW w:w="0" w:type="auto"/>
            <w:tcBorders>
              <w:top w:val="nil"/>
              <w:left w:val="nil"/>
              <w:bottom w:val="nil"/>
              <w:right w:val="nil"/>
            </w:tcBorders>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jc w:val="center"/>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r>
      <w:tr w:rsidR="001670EC" w:rsidRPr="00680D98" w:rsidTr="004944D9">
        <w:trPr>
          <w:trHeight w:val="312"/>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nil"/>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nil"/>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b/>
                <w:bCs/>
                <w:color w:val="000000"/>
              </w:rPr>
              <w:t>Focus Area: Injuries, Violence, and Occupational Health</w:t>
            </w:r>
            <w:r w:rsidRPr="00954671">
              <w:rPr>
                <w:color w:val="000000"/>
              </w:rPr>
              <w:t> </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single" w:sz="4" w:space="0" w:color="auto"/>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1. Rate of Hospitalizations due to Falls for Ages 65 Plus per 10,000 Population, '08 - 10 </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204.6</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ED Visits due to Falls for Children Ages 1 - 4 per 10,000 Population Children Ages 1 - 4, '08 - 10</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429.1</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Assault-Related Hospitalizations per 10,000 Population,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4.3</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4. Ratio of Black, Non-Hispanic Assault-Related Hospitalizations to White, Non-Hispanic Assault Related Hospitalizations, '08 - 10</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6.69</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5. Ratio of Hispanic/Latino Assault-Related Hospitalizations to White, Non-Hispanic Assault Related Hospitalizations, '08 - 10</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2.75</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6. Ratio of Assault-Related Hospitalizations for Low-Income versus non-Low Income Zip Codes, '08 - 10</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2.92</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7. Rate of ED Occupational Injuries Among Working Adolescents Ages 15 - 19 per 10,000 Population Ages 15 - 19, '08 - 10</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33.0</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42.9%</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66.7%</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Hospitalizations for Falls for Children Ages Under 10 per 10,000 Population Children Ages Under 10 ,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Hospitalizations for Falls for Children Ages 10 - 14 per 10,000 Population Children Ages 10 - 14,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Hospitalizations for Falls for Individuals Ages 15 - 24 per 10,000 Population Individuals Ages 15 - 24,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Hospitalizations for Falls for Adults Ages 25 - 64 per 10,000 Population Adults Ages 25 - 64,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Violent Crimes per 100,000 Population, '07 - 11</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Property Crimes per 100,000 Population, '07 - 11</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7. Rate of Total Crimes per 100,000 Population, '07 - 11</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8. Rate of Malignant Mesothelioma Cases, Ages 15 Plus, per 100,000 Population Ages 15 Plus, '07 - 09</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Pneumonconsis Hospitalizations, Ages 15 Plus, per 10,000 Population Ages 15 Plus,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Asbestosis Hospitalizations, Ages 15 Plus, per 10,000 Population Ages 15 Plus,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11. Rate of Work-Related Hospitalizations, Employed Ages 16 Plus per 10,000 Individuals Employed Ages 16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12. Rate of Elevated Blood Lead Levels Ages 16 Plus Employed per 10,000 Individuals Employed Ages 16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13. Rate of Total Motor Vehicle Crashes per 100,000 Population, '09 - 11</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14. Rate of Pedestrian-Related Accidents per 100,000 Population,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15. Rate of Speed-Related Accidents per 100,000 Population,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16. Rate of Motor Vehicle Accident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17. Rate of TBI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18. Rate of Unintentional Injury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19. Rate of Unintentional Injury Hospitalizations Ages 14 and Under per 10,000 Population Ages 14 and Under ,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20. Rate of Unintentional Injury Hospitalizations Ages 65 Plus per 10,000 Population Ages 65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21. Rate of Poisoning Hospitalizations per 10,000 Population,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8</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57.1%</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8.3%</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Injuries, Violence, and Occupational Health</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9</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53.6%</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20.0%</w:t>
            </w:r>
          </w:p>
        </w:tc>
      </w:tr>
      <w:tr w:rsidR="001670EC" w:rsidRPr="00680D98" w:rsidTr="004944D9">
        <w:trPr>
          <w:trHeight w:val="288"/>
        </w:trPr>
        <w:tc>
          <w:tcPr>
            <w:tcW w:w="0" w:type="auto"/>
            <w:tcBorders>
              <w:top w:val="nil"/>
              <w:left w:val="nil"/>
              <w:bottom w:val="single" w:sz="8"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8" w:space="0" w:color="auto"/>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nil"/>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nil"/>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nil"/>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4944D9">
              <w:rPr>
                <w:color w:val="000000"/>
                <w:sz w:val="16"/>
                <w:szCs w:val="16"/>
              </w:rPr>
              <w:t> </w:t>
            </w:r>
            <w:r w:rsidRPr="00954671">
              <w:rPr>
                <w:b/>
                <w:bCs/>
                <w:color w:val="000000"/>
              </w:rPr>
              <w:t>Focus Area: Outdoor Air Quality</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Number of Days with Unhealthy Ozone, 2007</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Number of Days with Unhealthy Particulate Matter, 2007</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0</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Outdoor Air Quality</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00"/>
        </w:trPr>
        <w:tc>
          <w:tcPr>
            <w:tcW w:w="0" w:type="auto"/>
            <w:tcBorders>
              <w:top w:val="nil"/>
              <w:left w:val="nil"/>
              <w:bottom w:val="double" w:sz="6"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double" w:sz="6" w:space="0" w:color="auto"/>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24"/>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nil"/>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nil"/>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Built Environment</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the Population that Live in Jurisdictions that Adopted Climate Smart Communities Pledge, 2012</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32.0%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Percentage of Commuters Who Use Alternative Modes of Transportation to Work, '07 - 11</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49.2%</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Percentage of Population with Low-Income and Low-Access to a Supermarket or Large Grocery Store, 2010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2.2%</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4. Percentage of Homes in Vulnerable Neighborhoods that have Fewer Asthma Triggers During Home Revisits, '08 - 11</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20.0%</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3"/>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Built Environment</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75.0%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66.7%</w:t>
            </w:r>
          </w:p>
        </w:tc>
      </w:tr>
      <w:tr w:rsidR="001670EC" w:rsidRPr="00680D98" w:rsidTr="004944D9">
        <w:trPr>
          <w:trHeight w:val="300"/>
        </w:trPr>
        <w:tc>
          <w:tcPr>
            <w:tcW w:w="0" w:type="auto"/>
            <w:tcBorders>
              <w:top w:val="nil"/>
              <w:left w:val="nil"/>
              <w:bottom w:val="double" w:sz="6"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double" w:sz="6" w:space="0" w:color="auto"/>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double" w:sz="6"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24"/>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nil"/>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nil"/>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b/>
                <w:bCs/>
                <w:color w:val="000000"/>
              </w:rPr>
              <w:t>Focus Area: Water Quality</w:t>
            </w:r>
            <w:r w:rsidRPr="00954671">
              <w:rPr>
                <w:color w:val="000000"/>
              </w:rPr>
              <w:t> </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Residents Served by Community Water Systems with Optimally Fluoridated Water, 2012</w:t>
            </w:r>
          </w:p>
        </w:tc>
        <w:tc>
          <w:tcPr>
            <w:tcW w:w="0" w:type="auto"/>
            <w:tcBorders>
              <w:top w:val="nil"/>
              <w:left w:val="single" w:sz="4" w:space="0" w:color="auto"/>
              <w:bottom w:val="nil"/>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78.5%</w:t>
            </w:r>
          </w:p>
        </w:tc>
        <w:tc>
          <w:tcPr>
            <w:tcW w:w="0" w:type="auto"/>
            <w:tcBorders>
              <w:top w:val="nil"/>
              <w:left w:val="single" w:sz="8" w:space="0" w:color="auto"/>
              <w:bottom w:val="nil"/>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Water Quality</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00"/>
        </w:trPr>
        <w:tc>
          <w:tcPr>
            <w:tcW w:w="0" w:type="auto"/>
            <w:tcBorders>
              <w:top w:val="nil"/>
              <w:left w:val="nil"/>
              <w:bottom w:val="nil"/>
              <w:right w:val="nil"/>
            </w:tcBorders>
            <w:shd w:val="clear" w:color="000000" w:fill="FFFFFF"/>
            <w:vAlign w:val="bottom"/>
          </w:tcPr>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Reduce Obesity in Children and Adults</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Adults Ages 18 Plus Who are Obese,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23.0%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Percentage of Public School Children Who are Obese, '10 - 12</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16.7%</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gridSpan w:val="2"/>
            <w:tcBorders>
              <w:top w:val="single" w:sz="4" w:space="0" w:color="auto"/>
              <w:left w:val="single" w:sz="8" w:space="0" w:color="auto"/>
              <w:bottom w:val="single" w:sz="4"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c>
          <w:tcPr>
            <w:tcW w:w="0" w:type="auto"/>
            <w:tcBorders>
              <w:top w:val="nil"/>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Total Students Overweight,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Percentage of Elementary Students Overweight, Not Obese,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Percentage of Elementary Students Obese,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Percentage of Middle and High School Students Overweight, Not Obese,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Percentage of Middle and High School Students Obese,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Percentage of WIC Children Ages 2 - 4 Obese,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Percentage of Age Adjusted Adults (Ages 18 Plus) Overweight or Obese,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Percentage of Age Adjusted Adults (Ages 18 Plus) Who Did Not Participate in Leisure Activities Last 30 Days,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Number of Recreational and Fitness Facilities per 100,000 Population, 2009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Percentage of Age Adjusted Adults (Ages 18 Plus) Eating Five or More Vegetables per Day,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Percentage of Age Adjusted Adults (Ages 18 Plus) with Cholesterol Check within the Last Five Years,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Percentage of Age Adjusted Adults (18 Plus) Ever Diagnosed with High Blood Pressure,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Percentage of Age Adjusted Adults (18 Plus) with Physician Diagnoses Angina, Heart Attack, or Stroke,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14. Rate of Cardiovascular Disease Deaths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15. Rate of Cardiovascular Premature Deaths ( Ages 35 - 64) per 100,000 Population Ages 35 - 64,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16. Rate of Pretransport Deaths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17. Rate of Cardiovascular Hospitalizations per 10,000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18. Rate of Diseases of the Heart Deaths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19. Rate of Diseases of the Heart Premature Deaths ( Ages 35 - 64) per 100,000 Population Ages 35 - 64,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20. Rate of Disease of the Heart Transport Deaths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21. Rate of Disease of the Heart Hospitalizations per 10,000 Population,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22. Rate of Coronary Heart Diseases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23. Rate of Coronary Heart Diseases Premature Deaths (Ages 35 - 64) per 100,000 Population Ages 35 - 64,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24. Rate of Coronary Heart Disease Transport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25. Rate of Coronary Heart Disease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26. Rate of Congestive Heart Failure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27. Rate of Congestive Heart Failure Premature Deaths (Ages 35 - 64) per 100,000 Population Ages 35 - 64,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28. Rate of Congestive Heart Failure Transport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29. Rate of Congestive Heart Failure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30. Rate of Cerebrovascular (Stroke)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31. Rate of Cerebrovascular (Stroke)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32. Rate of Hypertension Hospitalizations (Ages 18 Plus) per 100,000 Population Ages 18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33. Rate of Diabetes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34. Rate of Diabetes Hospitalizations (Primary Diagnosis)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35. Rate of Diabetes Hospitalizations (Any Diagnosis) per 10,000 Population,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13</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71.4%</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Reduce Obesity in Children and Adults</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14</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13</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73.0%</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Reduce Illness, Disability, and Death Related to Tobacco Use and Secondhand Smoke Exposure</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Adults Ages 18 Plus Who Smoke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15.0%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gridSpan w:val="2"/>
            <w:tcBorders>
              <w:top w:val="single" w:sz="4" w:space="0" w:color="auto"/>
              <w:left w:val="single" w:sz="8" w:space="0" w:color="auto"/>
              <w:bottom w:val="single" w:sz="4"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single" w:sz="4" w:space="0" w:color="auto"/>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c>
          <w:tcPr>
            <w:tcW w:w="0" w:type="auto"/>
            <w:tcBorders>
              <w:top w:val="single" w:sz="4" w:space="0" w:color="auto"/>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nil"/>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Chronic Lower Respiratory Disease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Chronic Lower Respiratory Disease Hospitalizations per 10,000 population,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Asthma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Asthma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Asthma Hospitalizations, Ages 25 - 44, per 10,000 Population Ages 25 - 44,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Asthma Hospitalizations, Ages 45 - 64, per 10,000 Population Ages 45 - 64,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Rate of Asthma Hospitalizations, Ages 65 Plus, per 10,000 Population Ages 65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Percentage of Adults with Asthma, '08/09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Lung and Bronchus Deaths per 100,000 Population, '07 - 09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Lung and Bronchus Cases per 100,000 Population, '07- 09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Number of Registered Tobacco Vendors per 100,000 Population, '09 - 10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Percentage of Vendors with Sales to Minors Violations, '09 - 10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Percentage of Vendors with Complaints, '09 - 10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69.2%</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33.3%</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Reduce Illness, Disability, and Death Related to Tobacco Use &amp; Secondhand Smoke Exposure</w:t>
            </w:r>
          </w:p>
        </w:tc>
        <w:tc>
          <w:tcPr>
            <w:tcW w:w="0" w:type="auto"/>
            <w:tcBorders>
              <w:top w:val="double" w:sz="6" w:space="0" w:color="auto"/>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single" w:sz="4"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71.4%</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40.0%</w:t>
            </w:r>
          </w:p>
        </w:tc>
      </w:tr>
      <w:tr w:rsidR="001670EC" w:rsidRPr="00680D98" w:rsidTr="004944D9">
        <w:trPr>
          <w:trHeight w:val="288"/>
        </w:trPr>
        <w:tc>
          <w:tcPr>
            <w:tcW w:w="0" w:type="auto"/>
            <w:tcBorders>
              <w:top w:val="nil"/>
              <w:left w:val="nil"/>
              <w:bottom w:val="single" w:sz="8"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8" w:space="0" w:color="auto"/>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nil"/>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nil"/>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Increase Access to High Quality Chronic Disease Preventive Care and Management in Both Clinical and Community Settings</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of Adults Ages 50 - 75 Who Received Colorectal Screenings Based on Recent Guidelines,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71.4%</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Asthma ED Visits per 10,000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75.1</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Asthma ED Visits Ages 0 - 4, per 10,000 Population Ages, 0 - 4,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196.5</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Short-term Diabetes Hospitalizations for Ages 6 - 17 per 10,000 Population, Ages 6 - 17,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3.06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Short-term Diabetes Hospitalizations for Ages 18 Plus per 10,000 Population, Ages 18 Plus,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4.86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Age Adjusted Heart Attack Hospitalizations per 10,000 population, 2010</w:t>
            </w:r>
          </w:p>
        </w:tc>
        <w:tc>
          <w:tcPr>
            <w:tcW w:w="0" w:type="auto"/>
            <w:tcBorders>
              <w:top w:val="nil"/>
              <w:left w:val="single" w:sz="4" w:space="0" w:color="auto"/>
              <w:bottom w:val="single" w:sz="4" w:space="0" w:color="auto"/>
              <w:right w:val="single" w:sz="8" w:space="0" w:color="auto"/>
            </w:tcBorders>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14.4</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gridSpan w:val="2"/>
            <w:tcBorders>
              <w:top w:val="single" w:sz="4" w:space="0" w:color="auto"/>
              <w:left w:val="single" w:sz="8" w:space="0" w:color="auto"/>
              <w:bottom w:val="single" w:sz="4"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66.7%</w:t>
            </w:r>
          </w:p>
        </w:tc>
        <w:tc>
          <w:tcPr>
            <w:tcW w:w="0" w:type="auto"/>
            <w:tcBorders>
              <w:top w:val="nil"/>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50.0%</w:t>
            </w: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nil"/>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Asthma ED Visits for Ages 18 - 64 per 10,000 Population Ages 18 - 64, '08 - 10</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Asthma ED Visits for Ages 65 Plus per 10,000 Population Ages 65 Plus, '08 - 10</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All Cancer Cases per 100,000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all Cancer Deaths per 100,000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Female Breast Cancer Cases per 100,000 Female Population, '07 -09</w:t>
            </w:r>
          </w:p>
        </w:tc>
        <w:tc>
          <w:tcPr>
            <w:tcW w:w="0" w:type="auto"/>
            <w:tcBorders>
              <w:top w:val="nil"/>
              <w:left w:val="single" w:sz="4" w:space="0" w:color="auto"/>
              <w:bottom w:val="single" w:sz="4" w:space="0" w:color="D8D8D8"/>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Female Late Stage Breast Cancer Cases per 100,000 Female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7. Rate of Female Breast Cancer Deaths per 100,000 Female Population, '07 </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Percentage of Women Ages 40 Plus With Mammogram within Last Two Years, '08/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Cervix and Uterine Cancer Cases per 100,000 Female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Cervix and Uterine Cancer Deaths per 100,000 Female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Percentage of Women Ages 18 Plus with a Pap Smear within the Last Three Years, '08/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Rate of Ovarian Cancer Cases per 100,000 Female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Rate of Ovarian Cancer Deaths per 100,000 Female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14. Rate of Colon and Rectum Cancer Cases per 100,000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15. Rate of Colon and Rectum Cancer Deaths per 100,000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16. Percentage of Adults Ages 50 Plus with Home Blood Stool Test within the Last Two Years, '08/09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17. Percentage of Adults Ages 50 Plus with Sigmoidoscopy or Colonoscopy within Last Ten Years, '08/09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18. Rate of Prostate Cancer Deaths per 100,000 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19. Rate of Prostate Cancer Cases per 100,000 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20. Rate of Prostate Cancer Late Stage Cancer Cases per 100,000 Male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21. Percentage of Males, Ages 40 Plus with a Digital Rectal Exam within Last Two Years, '08/09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22. Percentage of Males, Ages 40 Plus with a Prostate Antigen Test within Last Two Years, '08/09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23. Rate of Melanoma Cancer Deaths per 100,000 Population, '07 - '09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24. Percentage of Medicaid Enrollees with at Least One Preventive Dental Visit within the Year, '08 - 10</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25. Percentage of Age Adjusted Adults with a Dental Visit Within the Last 12 Months, '08/09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26. Oral Cavity and Pharynx Cancer Deaths per 100,000 Population, '07-09</w:t>
            </w:r>
          </w:p>
        </w:tc>
        <w:tc>
          <w:tcPr>
            <w:tcW w:w="0" w:type="auto"/>
            <w:tcBorders>
              <w:top w:val="nil"/>
              <w:left w:val="single" w:sz="4" w:space="0" w:color="auto"/>
              <w:bottom w:val="single" w:sz="4" w:space="0" w:color="BFBFBF"/>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27. Oral Cavity and Pharynx Cancer Deaths, Adults Ages 45 - 74, per 100,000 Population, Ages 45 - 74, '07 - 09</w:t>
            </w:r>
          </w:p>
        </w:tc>
        <w:tc>
          <w:tcPr>
            <w:tcW w:w="0" w:type="auto"/>
            <w:tcBorders>
              <w:top w:val="nil"/>
              <w:left w:val="single" w:sz="4" w:space="0" w:color="auto"/>
              <w:bottom w:val="single" w:sz="4" w:space="0" w:color="D8D8D8"/>
              <w:right w:val="single" w:sz="8" w:space="0" w:color="auto"/>
            </w:tcBorders>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28. Oral Cavity and Pharynx Cancer Cases per 100,000 Population, '07 - 09</w:t>
            </w:r>
          </w:p>
        </w:tc>
        <w:tc>
          <w:tcPr>
            <w:tcW w:w="0" w:type="auto"/>
            <w:tcBorders>
              <w:top w:val="nil"/>
              <w:left w:val="single" w:sz="4" w:space="0" w:color="auto"/>
              <w:bottom w:val="single" w:sz="4" w:space="0" w:color="auto"/>
              <w:right w:val="single" w:sz="8" w:space="0" w:color="auto"/>
            </w:tcBorders>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53.6%</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6.7%</w:t>
            </w:r>
          </w:p>
        </w:tc>
      </w:tr>
      <w:tr w:rsidR="001670EC" w:rsidRPr="00680D98" w:rsidTr="004944D9">
        <w:trPr>
          <w:trHeight w:val="300"/>
        </w:trPr>
        <w:tc>
          <w:tcPr>
            <w:tcW w:w="0" w:type="auto"/>
            <w:gridSpan w:val="3"/>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xml:space="preserve">Quartile Summary for Focus Area Increase Access to High Quality Chronic Disease Preventive Care &amp; Management </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14</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55.9%</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15.8%</w:t>
            </w:r>
          </w:p>
        </w:tc>
      </w:tr>
      <w:tr w:rsidR="001670EC" w:rsidRPr="00680D98" w:rsidTr="004944D9">
        <w:trPr>
          <w:trHeight w:val="288"/>
        </w:trPr>
        <w:tc>
          <w:tcPr>
            <w:tcW w:w="0" w:type="auto"/>
            <w:tcBorders>
              <w:top w:val="nil"/>
              <w:left w:val="nil"/>
              <w:bottom w:val="single" w:sz="8" w:space="0" w:color="auto"/>
              <w:right w:val="nil"/>
            </w:tcBorders>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single" w:sz="8"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single" w:sz="4" w:space="0" w:color="auto"/>
            </w:tcBorders>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single" w:sz="4" w:space="0" w:color="auto"/>
            </w:tcBorders>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auto"/>
              <w:right w:val="nil"/>
            </w:tcBorders>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nil"/>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nil"/>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Maternal and Infant Health</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single" w:sz="4" w:space="0" w:color="BFBFBF"/>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Preterm Births &lt; 37 Weeks of Total Births Where Gestation Period is Known, '08 - 10</w:t>
            </w:r>
          </w:p>
        </w:tc>
        <w:tc>
          <w:tcPr>
            <w:tcW w:w="0" w:type="auto"/>
            <w:tcBorders>
              <w:top w:val="single" w:sz="4" w:space="0" w:color="BFBFBF"/>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10.2%</w:t>
            </w:r>
          </w:p>
        </w:tc>
        <w:tc>
          <w:tcPr>
            <w:tcW w:w="0" w:type="auto"/>
            <w:tcBorders>
              <w:top w:val="single" w:sz="4" w:space="0" w:color="BFBFBF"/>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4" w:space="0" w:color="BFBFBF"/>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Ratio of Preterm Births (&lt; 37 wks) Black/NH to White/NH,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1.42</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Ratio of Preterm Births (&lt; 37 wks) Hisp/Latino to White/NH,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1.12</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Ratio of Preterm Births (&lt; 37 wks) Medicaid to Non-Medicaid,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Maternal Mortality per 100,000 Births,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19.7</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Percentage of Live Birth Infants Exclusively Breastfed in Delivery Hospital,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48.1%</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Ratio of Infants Exclusively Breastfed in Delivery Hospital Black, non-Hispanic to White, non-Hispanic,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0.57</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Ratio of Infants Exclusively Breastfed in Delivery Hospital Hispanic/Latino to White, non-Hispanic,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0.64</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Ratio of Infants Exclusively Breastfed in Delivery Hospital Medicaid to Non-Medicaid Births, '08 - 10</w:t>
            </w:r>
          </w:p>
        </w:tc>
        <w:tc>
          <w:tcPr>
            <w:tcW w:w="0" w:type="auto"/>
            <w:tcBorders>
              <w:top w:val="nil"/>
              <w:left w:val="single" w:sz="4" w:space="0" w:color="auto"/>
              <w:bottom w:val="nil"/>
              <w:right w:val="single" w:sz="8" w:space="0" w:color="auto"/>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0.66</w:t>
            </w:r>
          </w:p>
        </w:tc>
        <w:tc>
          <w:tcPr>
            <w:tcW w:w="0" w:type="auto"/>
            <w:tcBorders>
              <w:top w:val="nil"/>
              <w:left w:val="nil"/>
              <w:bottom w:val="nil"/>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single" w:sz="8"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single" w:sz="4" w:space="0" w:color="auto"/>
              <w:left w:val="nil"/>
              <w:bottom w:val="single" w:sz="8"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33.3%</w:t>
            </w:r>
          </w:p>
        </w:tc>
        <w:tc>
          <w:tcPr>
            <w:tcW w:w="0" w:type="auto"/>
            <w:tcBorders>
              <w:top w:val="single" w:sz="4" w:space="0" w:color="auto"/>
              <w:left w:val="nil"/>
              <w:bottom w:val="single" w:sz="8"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nil"/>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Percentage Preterm Births &lt; 32 weeks of Total Births Where Gestation Period is Known,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single" w:sz="4" w:space="0" w:color="BFBFBF"/>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Percentage Preterm Births 32 to &lt; 37 Weeks of Total Births Where Gestation Period is Known,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Percentage of Total Births with Weights Less Than 1,500 grams,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Percentage of Singleton Births with Weights Less Than 1,500 grams,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Percentage of Total Births with Weights Less Than 2,500 grams,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Percentage of Singleton Births with Weights Less Than 2,500 grams, '08 - 10</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Percentage of Total Births for Black, Non-Hispanic, with Weights Less than 2,500 Grams,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Percentage of Total Births for Hispanic/Latino, with Weights Less than 2,500 Grams,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Infant Mortality Rate per 1,000 Live Births,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Infant Mortality Rate for Black, Non-Hispanic per 1,000 Births,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Infant Mortality Rate for Hispanic/Latino per 1,000 Births,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Rate of Deaths (28 Weeks Gestation to Seven Days) per 1,000 Live Births and Perinatal Deaths,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Percentage Early Prenatal Care of Total Births Where Prenatal Care Status is Known,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14. Percentage Early Prenatal Care for Black, Non-Hispanic,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15. Percentage Early Prenatal Care for Hispanic/Latino,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16. Percentage APGAR Scores of Less Than Five at Five Minute Mark of Births Where APGAR Score is Known,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17. Rate of Newborn Drug Related Hospitalizations per 10,000 Births,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18. Percentage WIC Women Breastfed at Six months,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19. Percentage Infants Receiving Any Breast Milk in Delivery Hospital,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single" w:sz="4" w:space="0" w:color="auto"/>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26.3%</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20.0%</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Maternal and Infant Health</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28.6%</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12.5%</w:t>
            </w:r>
          </w:p>
        </w:tc>
      </w:tr>
      <w:tr w:rsidR="001670EC" w:rsidRPr="00680D98" w:rsidTr="004944D9">
        <w:trPr>
          <w:trHeight w:val="288"/>
        </w:trPr>
        <w:tc>
          <w:tcPr>
            <w:tcW w:w="0" w:type="auto"/>
            <w:tcBorders>
              <w:top w:val="nil"/>
              <w:left w:val="nil"/>
              <w:bottom w:val="nil"/>
              <w:right w:val="nil"/>
            </w:tcBorders>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jc w:val="center"/>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4944D9">
              <w:rPr>
                <w:color w:val="000000"/>
                <w:sz w:val="16"/>
                <w:szCs w:val="16"/>
              </w:rPr>
              <w:t> </w:t>
            </w:r>
            <w:r w:rsidRPr="00954671">
              <w:rPr>
                <w:b/>
                <w:bCs/>
                <w:color w:val="000000"/>
              </w:rPr>
              <w:t>Focus Area: Preconception and Reproductive Health</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 of Births within 24 months of Previous Pregnancy,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17.0%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Pregnancies Ages 15 - 17 year per 1,000 Females Ages 15-17,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25.6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Ratio of Pregnancy Rates for Ages 15 - 17 Black, non-Hispanic to White, non-Hispanic,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4.90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Ratio of Pregnancy Rates for Ages 15 - 17 Hispanic/Latino to White, non-Hispanic,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4.10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Percent of Unintended Births to Total Births, 2011</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24.2%</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Ratio of Unintended Births Black, non-Hispanic to White, non-Hispanic, '08 - 10</w:t>
            </w:r>
          </w:p>
        </w:tc>
        <w:tc>
          <w:tcPr>
            <w:tcW w:w="0" w:type="auto"/>
            <w:tcBorders>
              <w:top w:val="nil"/>
              <w:left w:val="single" w:sz="4" w:space="0" w:color="auto"/>
              <w:bottom w:val="single" w:sz="4" w:space="0" w:color="D8D8D8"/>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1.88</w:t>
            </w:r>
          </w:p>
        </w:tc>
        <w:tc>
          <w:tcPr>
            <w:tcW w:w="0" w:type="auto"/>
            <w:tcBorders>
              <w:top w:val="nil"/>
              <w:left w:val="single" w:sz="8"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Ratio of Unintended Births Hispanic/Latino to White, non-Hispanic,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1.36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Ratio of Unintended Births Medicaid to Non-Medicaid, '08 - 10</w:t>
            </w:r>
          </w:p>
        </w:tc>
        <w:tc>
          <w:tcPr>
            <w:tcW w:w="0" w:type="auto"/>
            <w:tcBorders>
              <w:top w:val="nil"/>
              <w:left w:val="single" w:sz="4" w:space="0" w:color="auto"/>
              <w:bottom w:val="nil"/>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1.56</w:t>
            </w:r>
          </w:p>
        </w:tc>
        <w:tc>
          <w:tcPr>
            <w:tcW w:w="0" w:type="auto"/>
            <w:tcBorders>
              <w:top w:val="nil"/>
              <w:left w:val="single" w:sz="8" w:space="0" w:color="auto"/>
              <w:bottom w:val="nil"/>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nil"/>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Percentage of Women Ages 18- 64 with Health Insurance, '08/09</w:t>
            </w:r>
          </w:p>
        </w:tc>
        <w:tc>
          <w:tcPr>
            <w:tcW w:w="0" w:type="auto"/>
            <w:tcBorders>
              <w:top w:val="single" w:sz="4" w:space="0" w:color="BFBFBF"/>
              <w:left w:val="single" w:sz="4" w:space="0" w:color="auto"/>
              <w:bottom w:val="nil"/>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100.0%</w:t>
            </w:r>
          </w:p>
        </w:tc>
        <w:tc>
          <w:tcPr>
            <w:tcW w:w="0" w:type="auto"/>
            <w:tcBorders>
              <w:top w:val="single" w:sz="4" w:space="0" w:color="BFBFBF"/>
              <w:left w:val="single" w:sz="8" w:space="0" w:color="auto"/>
              <w:bottom w:val="nil"/>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nil"/>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4" w:space="0" w:color="BFBFBF"/>
              <w:left w:val="nil"/>
              <w:bottom w:val="nil"/>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single" w:sz="4" w:space="0" w:color="auto"/>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44.4%</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Total Births per 1,000 Females Ages 15-44,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 Multiple Births of Total Births,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Percent C-Sections to Total Births,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center"/>
          </w:tcPr>
          <w:p w:rsidR="001670EC" w:rsidRPr="004944D9" w:rsidRDefault="001670EC" w:rsidP="004944D9">
            <w:pPr>
              <w:spacing w:after="0" w:line="240" w:lineRule="auto"/>
              <w:rPr>
                <w:color w:val="000000"/>
                <w:sz w:val="16"/>
                <w:szCs w:val="16"/>
              </w:rPr>
            </w:pPr>
            <w:r w:rsidRPr="004944D9">
              <w:rPr>
                <w:color w:val="000000"/>
                <w:sz w:val="16"/>
                <w:szCs w:val="16"/>
              </w:rPr>
              <w:t>4. Rate of Total Pregnancies per 1,000 Females Ages 15-44,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Births Ages 10 - 14 per 1,000 Females Ages 10-14,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Pregnancies Ages 10 - 14 per 1,000 Females Ages 10-14,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Rate of Births Ages 15 - 17 per 1,000 Females Ages 15-17,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Rate of Births Ages 15 - 19 per 1,000 Females Ages 15-19,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Pregnancies Ages 15 - 19 per 1,000 Females Ages 5-19,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Births Ages 18 - 19 per 1,000 Females Ages 18-19,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Rate of Pregnancies Ages 18 - 19 per 1,000 Females Ages 18-19,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Percent Total Births to Women Ages 35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Rate of Abortions Ages 15 - 19 per 100 Live Births, Mothers Ages 15-19,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14. Rate of Abortions All Ages per 100 Live Births to All Mothers,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15. Percentage of WIC Women Pre-pregnancy Underweight,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16. Percentage of WIC Women Pre-pregnancy Overweight but not Obese, '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17. Percentage of WIC Women Pre-pregnancy Obese,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18. Percentage of WIC Women with Gestational Weight Gain Greater than Ideal,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19. Percentage of WIC Women with Gestational Diabetes,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20. Percentage of WIC Women with Gestational Hypertension,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55.0%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27.3%</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Preconception and Reproductive Health</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51.7%</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20.0%</w:t>
            </w:r>
          </w:p>
        </w:tc>
      </w:tr>
      <w:tr w:rsidR="001670EC" w:rsidRPr="00680D98" w:rsidTr="004944D9">
        <w:trPr>
          <w:trHeight w:val="288"/>
        </w:trPr>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4944D9">
              <w:rPr>
                <w:color w:val="000000"/>
                <w:sz w:val="16"/>
                <w:szCs w:val="16"/>
              </w:rPr>
              <w:t> </w:t>
            </w:r>
            <w:r w:rsidRPr="00954671">
              <w:rPr>
                <w:b/>
                <w:bCs/>
                <w:color w:val="000000"/>
              </w:rPr>
              <w:t>Focus Area: Child Health</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1. Percentage of Children Ages 0 - 15 Months with Government Insurance with Recommended Well Visits, 2011 </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77.0%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2. Percentage of Children Ages 3 - 6 Years with Government Insurance with Recommended Well Visits, 2011 </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77.0%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3. Percentage of Children Ages 12 -21 Years with Government Insurance with Recommended Well Visits, 2011 </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77.0%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Percentage of Children Ages 0 -19 with Health Insurance, 2010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100.0%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Percentage of 3rd Graders with Untreated Tooth Decay, '09 - 11</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21.6%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Ratio of 3rd Graders with Untreated Tooth Decay, Low Income Children to Non-Low income Children, '09 - 11</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2.21</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33.3%</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Children Deaths Ages 1 - 4 per 100,000 Population Children Ages 1 - 4,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Children Deaths Ages 5 - 9 per 100,000 Population Children Ages 1 - 4,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Children Deaths Ages 10 - 14 per 100,000 Population Children ages 10 - 14,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Children Deaths Ages 5 - 14 per 100,000 Population Children Ages 5 - 14,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Children Deaths Ages 5 - 19 per 100,000 Population Children Ages 15 - 19 ,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Children Deaths Ages 1 - 19 per 100,000 Population Children Ages 1 - 19,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Rate of Asthma Hospitalizations Children Ages 0 - 4 per 10,000 Population Children Ages 0 - 4,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Rate of Asthma Hospitalizations Children Ages 5 - 14 per 10,000 Population Children Ages 5 - 14,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Asthma Hospitalizations Children Ages 0 - 17 per 10,000 Population Children Ages 0 - 17, '8 - 10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Gastroenteritis Hospitalizations Children Ages 0 - 4 per 10,000 Population Children Ages 0 - 4,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Rate of Otitis Media Hospitalizations Children Ages 0 - 4 per 10,000 Population Children Ages 0 - 4,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Rate of Pneumonia Hospitalizations Children Ages 0 - 4 per 10,000 Population Children Ages 0 - 4,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Rate of ED Asthma Visits Children Ages 0 - 4 per 10,000 Population Children Ages 0 - 4,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14. Percentage of Children Screened for Lead by Age 9 months</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15. Percentage of Children Screened for Lead by Age 18 months</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16. Percentage of Children Screened for Lead by Age 36 months (at least two screenings)</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17. Rate of Children Ages &lt; 6 with Confirmed Blood Lead Levels &gt;= 10 mg/dl Cases Per 1,000 Children Tested,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18. Rate of Unintentional Injury Hospitalizations for Children Under Age 10 per 10,000 Population Children Under Age 10,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19. Rate of Unintentional Injury Hospitalizations for Children Ages 10 - 14 per 10,000 Population Children Ages 10 - 14,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20. Rate of Unintentional Injury Hospitalizations for Children/Young Adults Ages 15 - 24 per 10,000 Ages 15 - 24,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21. Rate of Asthma ED Visits for Children Ages 0 - 17 per 10,000 Population Children Ages 0 - 17, '07 - 09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22. Percentage of Medicaid Enrollees Ages 2 - 20 with at Least One Dental Visit,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23 Percentage of 3rd Graders with Dental Caries,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24. Percentage of 3rd Graders with Dental Sealants,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25. Percentage of 3rd Graders with Dental Insurance,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26. Percentage of 3rd Graders with at Least One Dental Visit,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27. Percentage of 3rd Graders Taking Fluoride Tablets Regularly,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28. Rate of Caries ED Visits for Children Ages 3 - 5 per 10,000 Population Children Ages 3 - 5,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29. Percentage of WIC Children Ages 2 - 4 Viewing Two Hours TV or Less Per Day,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48.3%</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42.9%</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Child Health</w:t>
            </w:r>
          </w:p>
        </w:tc>
        <w:tc>
          <w:tcPr>
            <w:tcW w:w="0" w:type="auto"/>
            <w:tcBorders>
              <w:top w:val="nil"/>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7</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45.7%</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37.5%</w:t>
            </w:r>
          </w:p>
        </w:tc>
      </w:tr>
      <w:tr w:rsidR="001670EC" w:rsidRPr="00680D98" w:rsidTr="004944D9">
        <w:trPr>
          <w:trHeight w:val="288"/>
        </w:trPr>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4944D9">
              <w:rPr>
                <w:color w:val="000000"/>
                <w:sz w:val="16"/>
                <w:szCs w:val="16"/>
              </w:rPr>
              <w:t> </w:t>
            </w:r>
            <w:r w:rsidRPr="00954671">
              <w:rPr>
                <w:b/>
                <w:bCs/>
                <w:color w:val="000000"/>
              </w:rPr>
              <w:t>Focus Area: Human Immunodeficiency Virus (HIV)</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Newly Diagnosed HIV Cases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14.7</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Ratio of Newly Diagnosed HIV Cases Black, non-Hispanic versus White, non-Hispanic, '08 - 10</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45.7</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single" w:sz="4" w:space="0" w:color="BFBFBF"/>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AIDS Cases per 100,000 Population, '08 - 10</w:t>
            </w:r>
          </w:p>
        </w:tc>
        <w:tc>
          <w:tcPr>
            <w:tcW w:w="0" w:type="auto"/>
            <w:tcBorders>
              <w:top w:val="single" w:sz="4" w:space="0" w:color="BFBFBF"/>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single" w:sz="4" w:space="0" w:color="BFBFBF"/>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4" w:space="0" w:color="BFBFBF"/>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AIDS Deaths per 100,000 Adjusted Population,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nil"/>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Human Immunodeficiency Virus (HIV)</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4944D9">
              <w:rPr>
                <w:color w:val="000000"/>
                <w:sz w:val="16"/>
                <w:szCs w:val="16"/>
              </w:rPr>
              <w:t> </w:t>
            </w:r>
            <w:r w:rsidRPr="00954671">
              <w:rPr>
                <w:b/>
                <w:bCs/>
                <w:color w:val="000000"/>
              </w:rPr>
              <w:t>Focus Area: Sexually Transmitted Disease (STDs)</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Primary and Secondary Syphilis for Males per 100,000 Male Population, 2010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10.1</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Primary and Secondary Syphilis for Females per 100,000 Female Population, 2010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0.4</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Gonorrhea Cases for Females Ages 15-44 per 100,000 Female Population Ages 15-44, 2010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183.1</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Gonorrhea Cases for Males Ages 15 - 44 per 100,000 Male Population Ages 15-44, 2010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199.5</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Chlamydia for Females Ages 15 - 44 per 100,000 Female Population Ages 15 - 44, '08 - 10</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1458.0</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gridSpan w:val="2"/>
            <w:tcBorders>
              <w:top w:val="single" w:sz="4" w:space="0" w:color="auto"/>
              <w:left w:val="single" w:sz="8" w:space="0" w:color="auto"/>
              <w:bottom w:val="single" w:sz="4"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single" w:sz="4"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nil"/>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Early Syphilis Cases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Gonorrhea Cases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Gonorrhea Ages 15 - 19 Cases per 100,000 Population Ages 15-19,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D8D8D8"/>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Chlamydia Cases All Males per 100,000 Male Population, '08 - 10</w:t>
            </w:r>
          </w:p>
        </w:tc>
        <w:tc>
          <w:tcPr>
            <w:tcW w:w="0" w:type="auto"/>
            <w:tcBorders>
              <w:top w:val="nil"/>
              <w:left w:val="single" w:sz="4" w:space="0" w:color="auto"/>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Chlamydia Cases Males Ages 15 - 19 Cases per 100,000 Male Population Ages 15-19,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Chlamydia Cases Males Ages 20 - 24 per 100,000 Male Population Ages 20-24,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Rate of Chlamydia Cases All Females per 100,000 Female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Rate of Chlamydia Cases Females Ages 15- 19 per 100,000 Female Population Ages 15 - 19,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Chlamydia Cases Females Ages 20 - 24 per 100,000 Female Population Ages 20-24,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PID Hospitalizations Females Ages 15 - 44 per 10,000 Female Population Ages 15 - 44,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single" w:sz="4" w:space="0" w:color="auto"/>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nil"/>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Sexually Transmitted Diseases</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6.7%</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single" w:sz="4" w:space="0" w:color="auto"/>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nil"/>
              <w:left w:val="single" w:sz="4" w:space="0" w:color="auto"/>
              <w:bottom w:val="single" w:sz="4"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2017 Prevention Agenda Benchmark</w:t>
            </w: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nil"/>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954671">
              <w:rPr>
                <w:color w:val="000000"/>
              </w:rPr>
              <w:t> </w:t>
            </w:r>
            <w:r w:rsidRPr="00954671">
              <w:rPr>
                <w:b/>
                <w:bCs/>
                <w:color w:val="000000"/>
              </w:rPr>
              <w:t>Focus Area: Vaccine Preventable Disease</w:t>
            </w:r>
          </w:p>
        </w:tc>
        <w:tc>
          <w:tcPr>
            <w:tcW w:w="0" w:type="auto"/>
            <w:vMerge/>
            <w:tcBorders>
              <w:top w:val="nil"/>
              <w:left w:val="single" w:sz="4" w:space="0" w:color="auto"/>
              <w:bottom w:val="single" w:sz="4" w:space="0" w:color="000000"/>
              <w:right w:val="nil"/>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nil"/>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 of Children Ages 19 - 35 months with 4:3:1:3:3:1:4, 2011</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80.0%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 females 13 - 17 with 3 dose HPV vaccine, 2011</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50.0%</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nil"/>
              <w:right w:val="nil"/>
            </w:tcBorders>
            <w:vAlign w:val="center"/>
          </w:tcPr>
          <w:p w:rsidR="001670EC" w:rsidRPr="004944D9" w:rsidRDefault="001670EC" w:rsidP="004944D9">
            <w:pPr>
              <w:spacing w:after="0" w:line="240" w:lineRule="auto"/>
              <w:rPr>
                <w:color w:val="000000"/>
                <w:sz w:val="16"/>
                <w:szCs w:val="16"/>
              </w:rPr>
            </w:pPr>
            <w:r w:rsidRPr="004944D9">
              <w:rPr>
                <w:color w:val="000000"/>
                <w:sz w:val="16"/>
                <w:szCs w:val="16"/>
              </w:rPr>
              <w:t>3. Percent of Adults Ages 65 Plus With Flu Shots Within Last Year, '08/09</w:t>
            </w:r>
          </w:p>
        </w:tc>
        <w:tc>
          <w:tcPr>
            <w:tcW w:w="0" w:type="auto"/>
            <w:tcBorders>
              <w:top w:val="nil"/>
              <w:left w:val="single" w:sz="4" w:space="0" w:color="auto"/>
              <w:bottom w:val="nil"/>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75.1%</w:t>
            </w:r>
          </w:p>
        </w:tc>
        <w:tc>
          <w:tcPr>
            <w:tcW w:w="0" w:type="auto"/>
            <w:tcBorders>
              <w:top w:val="nil"/>
              <w:left w:val="single" w:sz="8" w:space="0" w:color="auto"/>
              <w:bottom w:val="nil"/>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88"/>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Pertussis Cases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Pneumonia/flu Hospitalizations Ages 65 Plus per 100,000 Population Age 65 Plus,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center"/>
          </w:tcPr>
          <w:p w:rsidR="001670EC" w:rsidRPr="004944D9" w:rsidRDefault="001670EC" w:rsidP="004944D9">
            <w:pPr>
              <w:spacing w:after="0" w:line="240" w:lineRule="auto"/>
              <w:rPr>
                <w:color w:val="000000"/>
                <w:sz w:val="16"/>
                <w:szCs w:val="16"/>
              </w:rPr>
            </w:pPr>
            <w:r w:rsidRPr="004944D9">
              <w:rPr>
                <w:color w:val="000000"/>
                <w:sz w:val="16"/>
                <w:szCs w:val="16"/>
              </w:rPr>
              <w:t>3. Percent of Adults Ages 65 Plus Ever Received a Pneumonia Shot, '08/09</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Mumps Cases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Meningococcal Cases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H Influenza Cases per 100,000 Population,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single" w:sz="4" w:space="0" w:color="auto"/>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Vaccine Preventable Diseases</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33.3%</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r w:rsidR="001670EC" w:rsidRPr="00680D98" w:rsidTr="004944D9">
        <w:trPr>
          <w:trHeight w:val="216"/>
        </w:trPr>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851356">
        <w:trPr>
          <w:trHeight w:val="312"/>
        </w:trPr>
        <w:tc>
          <w:tcPr>
            <w:tcW w:w="0" w:type="auto"/>
            <w:vMerge w:val="restart"/>
            <w:tcBorders>
              <w:top w:val="single" w:sz="8" w:space="0" w:color="auto"/>
              <w:left w:val="single" w:sz="8" w:space="0" w:color="auto"/>
              <w:right w:val="single" w:sz="8" w:space="0" w:color="auto"/>
            </w:tcBorders>
            <w:shd w:val="clear" w:color="000000" w:fill="A5A5A5"/>
            <w:vAlign w:val="bottom"/>
          </w:tcPr>
          <w:p w:rsidR="001670EC" w:rsidRPr="004944D9" w:rsidRDefault="001670EC" w:rsidP="00954671">
            <w:pPr>
              <w:spacing w:after="0" w:line="240" w:lineRule="auto"/>
              <w:rPr>
                <w:b/>
                <w:bCs/>
                <w:color w:val="000000"/>
                <w:sz w:val="16"/>
                <w:szCs w:val="16"/>
              </w:rPr>
            </w:pPr>
            <w:r w:rsidRPr="004944D9">
              <w:rPr>
                <w:b/>
                <w:bCs/>
                <w:color w:val="000000"/>
                <w:sz w:val="16"/>
                <w:szCs w:val="16"/>
              </w:rPr>
              <w:t> </w:t>
            </w:r>
          </w:p>
          <w:p w:rsidR="001670EC" w:rsidRPr="004944D9" w:rsidRDefault="001670EC" w:rsidP="004944D9">
            <w:pPr>
              <w:rPr>
                <w:b/>
                <w:bCs/>
                <w:color w:val="000000"/>
                <w:sz w:val="16"/>
                <w:szCs w:val="16"/>
              </w:rPr>
            </w:pPr>
            <w:r w:rsidRPr="004944D9">
              <w:rPr>
                <w:color w:val="000000"/>
                <w:sz w:val="16"/>
                <w:szCs w:val="16"/>
              </w:rPr>
              <w:t> </w:t>
            </w:r>
            <w:r w:rsidRPr="00954671">
              <w:rPr>
                <w:b/>
                <w:bCs/>
                <w:color w:val="000000"/>
              </w:rPr>
              <w:t>Focus Area: Healthcare Associated Infections</w:t>
            </w:r>
          </w:p>
        </w:tc>
        <w:tc>
          <w:tcPr>
            <w:tcW w:w="0" w:type="auto"/>
            <w:vMerge w:val="restart"/>
            <w:tcBorders>
              <w:top w:val="single" w:sz="8" w:space="0" w:color="auto"/>
              <w:left w:val="nil"/>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p w:rsidR="001670EC" w:rsidRPr="004944D9" w:rsidRDefault="001670EC" w:rsidP="004944D9">
            <w:pPr>
              <w:jc w:val="center"/>
              <w:rPr>
                <w:b/>
                <w:bCs/>
                <w:color w:val="000000"/>
                <w:sz w:val="16"/>
                <w:szCs w:val="16"/>
              </w:rPr>
            </w:pPr>
            <w:r w:rsidRPr="004944D9">
              <w:rPr>
                <w:b/>
                <w:bCs/>
                <w:color w:val="000000"/>
                <w:sz w:val="16"/>
                <w:szCs w:val="16"/>
              </w:rPr>
              <w:t>2017 Prevention Agenda Benchmark</w:t>
            </w:r>
          </w:p>
        </w:tc>
        <w:tc>
          <w:tcPr>
            <w:tcW w:w="0" w:type="auto"/>
            <w:vMerge w:val="restart"/>
            <w:tcBorders>
              <w:top w:val="single" w:sz="8" w:space="0" w:color="auto"/>
              <w:left w:val="single" w:sz="8" w:space="0" w:color="auto"/>
              <w:bottom w:val="double" w:sz="6"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851356">
        <w:trPr>
          <w:trHeight w:val="756"/>
        </w:trPr>
        <w:tc>
          <w:tcPr>
            <w:tcW w:w="0" w:type="auto"/>
            <w:vMerge/>
            <w:tcBorders>
              <w:left w:val="single" w:sz="8" w:space="0" w:color="auto"/>
              <w:bottom w:val="double" w:sz="6" w:space="0" w:color="auto"/>
              <w:right w:val="single" w:sz="8" w:space="0" w:color="auto"/>
            </w:tcBorders>
            <w:shd w:val="clear" w:color="000000" w:fill="A5A5A5"/>
            <w:vAlign w:val="bottom"/>
          </w:tcPr>
          <w:p w:rsidR="001670EC" w:rsidRPr="004944D9" w:rsidRDefault="001670EC" w:rsidP="004944D9">
            <w:pPr>
              <w:rPr>
                <w:b/>
                <w:bCs/>
                <w:color w:val="000000"/>
                <w:sz w:val="16"/>
                <w:szCs w:val="16"/>
              </w:rPr>
            </w:pPr>
          </w:p>
        </w:tc>
        <w:tc>
          <w:tcPr>
            <w:tcW w:w="0" w:type="auto"/>
            <w:vMerge/>
            <w:tcBorders>
              <w:left w:val="single" w:sz="4" w:space="0" w:color="auto"/>
              <w:bottom w:val="double" w:sz="6"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tcBorders>
              <w:top w:val="nil"/>
              <w:left w:val="nil"/>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tcBorders>
              <w:top w:val="nil"/>
              <w:left w:val="single" w:sz="4" w:space="0" w:color="auto"/>
              <w:bottom w:val="double" w:sz="6"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88"/>
        </w:trPr>
        <w:tc>
          <w:tcPr>
            <w:tcW w:w="0" w:type="auto"/>
            <w:gridSpan w:val="9"/>
            <w:tcBorders>
              <w:top w:val="single" w:sz="4" w:space="0" w:color="auto"/>
              <w:left w:val="single" w:sz="8" w:space="0" w:color="auto"/>
              <w:bottom w:val="single" w:sz="4" w:space="0" w:color="auto"/>
              <w:right w:val="single" w:sz="8" w:space="0" w:color="000000"/>
            </w:tcBorders>
            <w:shd w:val="clear" w:color="000000" w:fill="BFBFBF"/>
            <w:vAlign w:val="bottom"/>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Hospital Onset CDIs per 10,000 Patient Days, 2011</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5.94</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tcBorders>
              <w:top w:val="nil"/>
              <w:left w:val="single" w:sz="8" w:space="0" w:color="auto"/>
              <w:bottom w:val="single" w:sz="4" w:space="0" w:color="auto"/>
              <w:right w:val="nil"/>
            </w:tcBorders>
            <w:vAlign w:val="center"/>
          </w:tcPr>
          <w:p w:rsidR="001670EC" w:rsidRPr="004944D9" w:rsidRDefault="001670EC" w:rsidP="004944D9">
            <w:pPr>
              <w:spacing w:after="0" w:line="240" w:lineRule="auto"/>
              <w:rPr>
                <w:color w:val="000000"/>
                <w:sz w:val="16"/>
                <w:szCs w:val="16"/>
              </w:rPr>
            </w:pPr>
            <w:r w:rsidRPr="004944D9">
              <w:rPr>
                <w:color w:val="000000"/>
                <w:sz w:val="16"/>
                <w:szCs w:val="16"/>
              </w:rPr>
              <w:t>2. Rate of Community Onset, Healthcare Facility Associated CDIs per 10,000 Patient Days, 2011</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2.05</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300"/>
        </w:trPr>
        <w:tc>
          <w:tcPr>
            <w:tcW w:w="0" w:type="auto"/>
            <w:gridSpan w:val="3"/>
            <w:tcBorders>
              <w:top w:val="double" w:sz="6" w:space="0" w:color="auto"/>
              <w:left w:val="single" w:sz="8" w:space="0" w:color="auto"/>
              <w:bottom w:val="double" w:sz="6"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Healthcare Associated Infections</w:t>
            </w:r>
          </w:p>
        </w:tc>
        <w:tc>
          <w:tcPr>
            <w:tcW w:w="0" w:type="auto"/>
            <w:tcBorders>
              <w:top w:val="double" w:sz="6" w:space="0" w:color="auto"/>
              <w:left w:val="nil"/>
              <w:bottom w:val="double" w:sz="6"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double" w:sz="6"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double" w:sz="6"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double" w:sz="6" w:space="0" w:color="auto"/>
              <w:left w:val="nil"/>
              <w:bottom w:val="double" w:sz="6"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double" w:sz="6" w:space="0" w:color="auto"/>
              <w:left w:val="nil"/>
              <w:bottom w:val="double" w:sz="6"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c>
          <w:tcPr>
            <w:tcW w:w="0" w:type="auto"/>
            <w:tcBorders>
              <w:top w:val="double" w:sz="6" w:space="0" w:color="auto"/>
              <w:left w:val="nil"/>
              <w:bottom w:val="double" w:sz="6"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50.0%</w:t>
            </w:r>
          </w:p>
        </w:tc>
      </w:tr>
      <w:tr w:rsidR="001670EC" w:rsidRPr="00680D98" w:rsidTr="004944D9">
        <w:trPr>
          <w:trHeight w:val="300"/>
        </w:trPr>
        <w:tc>
          <w:tcPr>
            <w:tcW w:w="0" w:type="auto"/>
            <w:tcBorders>
              <w:top w:val="nil"/>
              <w:left w:val="nil"/>
              <w:bottom w:val="nil"/>
              <w:right w:val="nil"/>
            </w:tcBorders>
            <w:shd w:val="clear" w:color="000000" w:fill="FFFFFF"/>
            <w:vAlign w:val="bottom"/>
          </w:tcPr>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Default="001670EC" w:rsidP="004944D9">
            <w:pPr>
              <w:spacing w:after="0" w:line="240" w:lineRule="auto"/>
              <w:jc w:val="center"/>
              <w:rPr>
                <w:b/>
                <w:bCs/>
                <w:color w:val="000000"/>
                <w:sz w:val="16"/>
                <w:szCs w:val="16"/>
              </w:rPr>
            </w:pPr>
          </w:p>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tcBorders>
              <w:top w:val="nil"/>
              <w:left w:val="nil"/>
              <w:bottom w:val="nil"/>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nil"/>
              <w:right w:val="nil"/>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851356">
        <w:trPr>
          <w:trHeight w:val="312"/>
        </w:trPr>
        <w:tc>
          <w:tcPr>
            <w:tcW w:w="0" w:type="auto"/>
            <w:vMerge w:val="restart"/>
            <w:tcBorders>
              <w:top w:val="single" w:sz="8" w:space="0" w:color="auto"/>
              <w:left w:val="single" w:sz="8" w:space="0" w:color="auto"/>
              <w:right w:val="single" w:sz="8" w:space="0" w:color="auto"/>
            </w:tcBorders>
            <w:shd w:val="clear" w:color="000000" w:fill="A5A5A5"/>
            <w:vAlign w:val="bottom"/>
          </w:tcPr>
          <w:p w:rsidR="001670EC" w:rsidRPr="004944D9" w:rsidRDefault="001670EC" w:rsidP="00954671">
            <w:pPr>
              <w:spacing w:after="0" w:line="240" w:lineRule="auto"/>
              <w:rPr>
                <w:color w:val="000000"/>
                <w:sz w:val="16"/>
                <w:szCs w:val="16"/>
              </w:rPr>
            </w:pPr>
            <w:r w:rsidRPr="004944D9">
              <w:rPr>
                <w:color w:val="000000"/>
                <w:sz w:val="16"/>
                <w:szCs w:val="16"/>
              </w:rPr>
              <w:t> </w:t>
            </w:r>
            <w:r w:rsidRPr="004944D9">
              <w:rPr>
                <w:b/>
                <w:bCs/>
                <w:color w:val="000000"/>
                <w:sz w:val="16"/>
                <w:szCs w:val="16"/>
              </w:rPr>
              <w:t> </w:t>
            </w:r>
          </w:p>
          <w:p w:rsidR="001670EC" w:rsidRPr="004944D9" w:rsidRDefault="001670EC" w:rsidP="00851356">
            <w:pPr>
              <w:rPr>
                <w:color w:val="000000"/>
                <w:sz w:val="16"/>
                <w:szCs w:val="16"/>
              </w:rPr>
            </w:pPr>
            <w:r w:rsidRPr="00954671">
              <w:rPr>
                <w:b/>
                <w:bCs/>
                <w:color w:val="000000"/>
              </w:rPr>
              <w:t>Focus Area: Prevent Substance Abuse and Other Mental, Emotional, and Behavioral Disorders</w:t>
            </w:r>
          </w:p>
        </w:tc>
        <w:tc>
          <w:tcPr>
            <w:tcW w:w="0" w:type="auto"/>
            <w:vMerge w:val="restart"/>
            <w:tcBorders>
              <w:top w:val="single" w:sz="8" w:space="0" w:color="auto"/>
              <w:left w:val="nil"/>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p w:rsidR="001670EC" w:rsidRPr="004944D9" w:rsidRDefault="001670EC" w:rsidP="004944D9">
            <w:pPr>
              <w:jc w:val="center"/>
              <w:rPr>
                <w:b/>
                <w:bCs/>
                <w:color w:val="000000"/>
                <w:sz w:val="16"/>
                <w:szCs w:val="16"/>
              </w:rPr>
            </w:pPr>
            <w:r w:rsidRPr="004944D9">
              <w:rPr>
                <w:b/>
                <w:bCs/>
                <w:color w:val="000000"/>
                <w:sz w:val="16"/>
                <w:szCs w:val="16"/>
              </w:rPr>
              <w:t>2017 Prevention Agenda Benchmark</w:t>
            </w:r>
          </w:p>
        </w:tc>
        <w:tc>
          <w:tcPr>
            <w:tcW w:w="0" w:type="auto"/>
            <w:vMerge w:val="restart"/>
            <w:tcBorders>
              <w:top w:val="single" w:sz="8" w:space="0" w:color="auto"/>
              <w:left w:val="single" w:sz="8" w:space="0" w:color="auto"/>
              <w:bottom w:val="double" w:sz="6"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851356">
        <w:trPr>
          <w:trHeight w:val="756"/>
        </w:trPr>
        <w:tc>
          <w:tcPr>
            <w:tcW w:w="0" w:type="auto"/>
            <w:vMerge/>
            <w:tcBorders>
              <w:left w:val="single" w:sz="8" w:space="0" w:color="auto"/>
              <w:bottom w:val="double" w:sz="6" w:space="0" w:color="auto"/>
              <w:right w:val="single" w:sz="8" w:space="0" w:color="auto"/>
            </w:tcBorders>
            <w:shd w:val="clear" w:color="000000" w:fill="A5A5A5"/>
            <w:vAlign w:val="bottom"/>
          </w:tcPr>
          <w:p w:rsidR="001670EC" w:rsidRPr="004944D9" w:rsidRDefault="001670EC" w:rsidP="00851356">
            <w:pPr>
              <w:rPr>
                <w:b/>
                <w:bCs/>
                <w:color w:val="000000"/>
                <w:sz w:val="16"/>
                <w:szCs w:val="16"/>
              </w:rPr>
            </w:pPr>
          </w:p>
        </w:tc>
        <w:tc>
          <w:tcPr>
            <w:tcW w:w="0" w:type="auto"/>
            <w:vMerge/>
            <w:tcBorders>
              <w:left w:val="single" w:sz="4" w:space="0" w:color="auto"/>
              <w:bottom w:val="double" w:sz="6" w:space="0" w:color="000000"/>
              <w:right w:val="nil"/>
            </w:tcBorders>
            <w:shd w:val="clear" w:color="000000" w:fill="A5A5A5"/>
            <w:vAlign w:val="bottom"/>
          </w:tcPr>
          <w:p w:rsidR="001670EC" w:rsidRPr="004944D9" w:rsidRDefault="001670EC" w:rsidP="004944D9">
            <w:pPr>
              <w:spacing w:after="0" w:line="240" w:lineRule="auto"/>
              <w:jc w:val="center"/>
              <w:rPr>
                <w:b/>
                <w:bCs/>
                <w:color w:val="000000"/>
                <w:sz w:val="16"/>
                <w:szCs w:val="16"/>
              </w:rPr>
            </w:pPr>
          </w:p>
        </w:tc>
        <w:tc>
          <w:tcPr>
            <w:tcW w:w="0" w:type="auto"/>
            <w:vMerge/>
            <w:tcBorders>
              <w:top w:val="single" w:sz="8" w:space="0" w:color="auto"/>
              <w:left w:val="single" w:sz="8" w:space="0" w:color="auto"/>
              <w:bottom w:val="double" w:sz="6"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tcBorders>
              <w:top w:val="nil"/>
              <w:left w:val="nil"/>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tcBorders>
              <w:top w:val="nil"/>
              <w:left w:val="single" w:sz="4" w:space="0" w:color="auto"/>
              <w:bottom w:val="double" w:sz="6"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tcBorders>
              <w:top w:val="nil"/>
              <w:left w:val="single" w:sz="4" w:space="0" w:color="auto"/>
              <w:bottom w:val="double" w:sz="6"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4944D9">
        <w:trPr>
          <w:trHeight w:val="276"/>
        </w:trPr>
        <w:tc>
          <w:tcPr>
            <w:tcW w:w="0" w:type="auto"/>
            <w:tcBorders>
              <w:top w:val="nil"/>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Prevention Agenda Indicators</w:t>
            </w:r>
          </w:p>
        </w:tc>
        <w:tc>
          <w:tcPr>
            <w:tcW w:w="0" w:type="auto"/>
            <w:gridSpan w:val="8"/>
            <w:tcBorders>
              <w:top w:val="single" w:sz="4"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1. Percent of Adults Binge Drinking within the Last Month,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17.6%</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tcBorders>
              <w:top w:val="nil"/>
              <w:left w:val="single" w:sz="8" w:space="0" w:color="auto"/>
              <w:bottom w:val="single" w:sz="4" w:space="0" w:color="BFBFBF"/>
              <w:right w:val="nil"/>
            </w:tcBorders>
            <w:shd w:val="clear" w:color="000000" w:fill="FFFFFF"/>
            <w:vAlign w:val="bottom"/>
          </w:tcPr>
          <w:p w:rsidR="001670EC" w:rsidRPr="004944D9" w:rsidRDefault="001670EC" w:rsidP="004944D9">
            <w:pPr>
              <w:spacing w:after="0" w:line="240" w:lineRule="auto"/>
              <w:rPr>
                <w:color w:val="000000"/>
                <w:sz w:val="16"/>
                <w:szCs w:val="16"/>
              </w:rPr>
            </w:pPr>
            <w:r w:rsidRPr="004944D9">
              <w:rPr>
                <w:color w:val="000000"/>
                <w:sz w:val="16"/>
                <w:szCs w:val="16"/>
              </w:rPr>
              <w:t>2. Percent of Adults with Poor Mental Health (14 or More Days) in the Last Month, '08/09</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10.1%</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Age Adjusted Suicides per 100,000 Adjusted Population, '08 - 10</w:t>
            </w:r>
          </w:p>
        </w:tc>
        <w:tc>
          <w:tcPr>
            <w:tcW w:w="0" w:type="auto"/>
            <w:tcBorders>
              <w:top w:val="nil"/>
              <w:left w:val="single" w:sz="4" w:space="0" w:color="auto"/>
              <w:bottom w:val="single" w:sz="4" w:space="0" w:color="auto"/>
              <w:right w:val="nil"/>
            </w:tcBorders>
            <w:shd w:val="clear" w:color="000000" w:fill="FFFFFF"/>
            <w:noWrap/>
            <w:vAlign w:val="bottom"/>
          </w:tcPr>
          <w:p w:rsidR="001670EC" w:rsidRPr="004944D9" w:rsidRDefault="001670EC" w:rsidP="004944D9">
            <w:pPr>
              <w:spacing w:after="0" w:line="240" w:lineRule="auto"/>
              <w:jc w:val="right"/>
              <w:rPr>
                <w:b/>
                <w:bCs/>
                <w:color w:val="000000"/>
                <w:sz w:val="16"/>
                <w:szCs w:val="16"/>
              </w:rPr>
            </w:pPr>
            <w:r w:rsidRPr="004944D9">
              <w:rPr>
                <w:b/>
                <w:bCs/>
                <w:color w:val="000000"/>
                <w:sz w:val="16"/>
                <w:szCs w:val="16"/>
              </w:rPr>
              <w:t>5.9</w:t>
            </w:r>
          </w:p>
        </w:tc>
        <w:tc>
          <w:tcPr>
            <w:tcW w:w="0" w:type="auto"/>
            <w:tcBorders>
              <w:top w:val="nil"/>
              <w:left w:val="single" w:sz="8"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single" w:sz="8"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Prevention Agenda Indicators</w:t>
            </w:r>
          </w:p>
        </w:tc>
        <w:tc>
          <w:tcPr>
            <w:tcW w:w="0" w:type="auto"/>
            <w:tcBorders>
              <w:top w:val="nil"/>
              <w:left w:val="nil"/>
              <w:bottom w:val="single" w:sz="8" w:space="0" w:color="auto"/>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nil"/>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100.0%</w:t>
            </w:r>
          </w:p>
        </w:tc>
        <w:tc>
          <w:tcPr>
            <w:tcW w:w="0" w:type="auto"/>
            <w:tcBorders>
              <w:top w:val="nil"/>
              <w:left w:val="nil"/>
              <w:bottom w:val="single" w:sz="8"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33.3%</w:t>
            </w:r>
          </w:p>
        </w:tc>
      </w:tr>
      <w:tr w:rsidR="001670EC" w:rsidRPr="00680D98" w:rsidTr="004944D9">
        <w:trPr>
          <w:trHeight w:val="288"/>
        </w:trPr>
        <w:tc>
          <w:tcPr>
            <w:tcW w:w="0" w:type="auto"/>
            <w:tcBorders>
              <w:top w:val="double" w:sz="6" w:space="0" w:color="auto"/>
              <w:left w:val="single" w:sz="8" w:space="0" w:color="auto"/>
              <w:bottom w:val="single" w:sz="4" w:space="0" w:color="auto"/>
              <w:right w:val="nil"/>
            </w:tcBorders>
            <w:shd w:val="clear" w:color="000000" w:fill="FFFFF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Other Indicators</w:t>
            </w:r>
          </w:p>
        </w:tc>
        <w:tc>
          <w:tcPr>
            <w:tcW w:w="0" w:type="auto"/>
            <w:gridSpan w:val="8"/>
            <w:tcBorders>
              <w:top w:val="double" w:sz="6" w:space="0" w:color="auto"/>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Suicides for Ages 15 - 19 per 100,000 Population Ages 15 - 19,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4" w:space="0" w:color="BFBFBF"/>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Self-inflicted Hospitalizations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Self-inflicted Hospitalizations for Ages 15 - 19 per 10,000 Population Ages 15 - 19,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Cirrhosis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5. Rate of Cirrhosis Hospitalizations per 10,000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Alcohol-Related Accidents per 100,000 Population,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7. Percentage of Alcohol-Related Crashes to Total Accidents, 09 - 11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Rate of Alcohol-Related Injuries and Deaths per 100,000 Population,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tcBorders>
              <w:top w:val="nil"/>
              <w:left w:val="single" w:sz="8" w:space="0" w:color="auto"/>
              <w:bottom w:val="single" w:sz="8" w:space="0" w:color="D8D8D8"/>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Drug-Related Hospitalizations per 10,000 Population, '08 - 10</w:t>
            </w:r>
          </w:p>
        </w:tc>
        <w:tc>
          <w:tcPr>
            <w:tcW w:w="0" w:type="auto"/>
            <w:tcBorders>
              <w:top w:val="nil"/>
              <w:left w:val="single" w:sz="4" w:space="0" w:color="auto"/>
              <w:bottom w:val="single" w:sz="8" w:space="0" w:color="D8D8D8"/>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8" w:space="0" w:color="D8D8D8"/>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8"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D8D8D8"/>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8" w:space="0" w:color="D8D8D8"/>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8" w:space="0" w:color="D8D8D8"/>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10. Rate of People Served in Mental Health Outpatient Settings Ages 8 and Below per 100,000 Population Ages 8 and Below,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11. Rate of People Served in Mental Health Outpatient Settings Ages 9 - 17 per 100,000 Population Ages 9 - 17,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12. Rate of People Served in Mental Health Outpatient Settings Ages 18 - 64 per 100,000 Population Ages 18 - 64,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13. Rate of People Served in Mental Health Outpatient Settings Ages 65 Plus per 100,000 Population Ages 65 Plus,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Worse</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X</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14. Rate of People Served in ED for Mental Health Ages 8 and Below per 100,000 Population Ages 8 and Below,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15. Rate of People Served in ED for Mental Health Ages 9 - 17 per 100,000 Population Ages 9 - 17,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16. Rate of People Served in ED for Mental Health Ages 18 - 64 per 100,000 Population Ages 18 - 64,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17.Rate of People Served in ED for Mental Health Ages 65 Plus per 100,000 Population Ages 65 Plus,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18. Percentage of Children Ages 9 - 17 with Serious Emotional Disturbances (SED) Served to Total SED Children Ages 9 - 17,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19. Percentage of Adults Ages 18 - 64 with Serious Mental Illness (SMI) Served, 2011</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20. Percentage of Adults Ages 65 Plus with Serious Mental Illness (SMI) Served, 2011</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single" w:sz="4" w:space="0" w:color="auto"/>
              <w:left w:val="single" w:sz="8" w:space="0" w:color="auto"/>
              <w:bottom w:val="double" w:sz="6" w:space="0" w:color="auto"/>
              <w:right w:val="single" w:sz="8" w:space="0" w:color="000000"/>
            </w:tcBorders>
            <w:shd w:val="clear" w:color="000000" w:fill="BFBFBF"/>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Other Indicators</w:t>
            </w:r>
          </w:p>
        </w:tc>
        <w:tc>
          <w:tcPr>
            <w:tcW w:w="0" w:type="auto"/>
            <w:tcBorders>
              <w:top w:val="nil"/>
              <w:left w:val="nil"/>
              <w:bottom w:val="nil"/>
              <w:right w:val="single" w:sz="8" w:space="0" w:color="auto"/>
            </w:tcBorders>
            <w:shd w:val="clear" w:color="000000" w:fill="BFBFB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single" w:sz="4" w:space="0" w:color="auto"/>
              <w:left w:val="nil"/>
              <w:bottom w:val="double" w:sz="6" w:space="0" w:color="auto"/>
              <w:right w:val="single" w:sz="4"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55.0%</w:t>
            </w:r>
          </w:p>
        </w:tc>
        <w:tc>
          <w:tcPr>
            <w:tcW w:w="0" w:type="auto"/>
            <w:tcBorders>
              <w:top w:val="single" w:sz="4" w:space="0" w:color="auto"/>
              <w:left w:val="nil"/>
              <w:bottom w:val="double" w:sz="6" w:space="0" w:color="auto"/>
              <w:right w:val="single" w:sz="8" w:space="0" w:color="auto"/>
            </w:tcBorders>
            <w:shd w:val="clear" w:color="000000" w:fill="BFBFB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54.5%</w:t>
            </w:r>
          </w:p>
        </w:tc>
      </w:tr>
      <w:tr w:rsidR="001670EC" w:rsidRPr="00680D98" w:rsidTr="004944D9">
        <w:trPr>
          <w:trHeight w:val="300"/>
        </w:trPr>
        <w:tc>
          <w:tcPr>
            <w:tcW w:w="0" w:type="auto"/>
            <w:gridSpan w:val="2"/>
            <w:tcBorders>
              <w:top w:val="double" w:sz="6" w:space="0" w:color="auto"/>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Focus Area: Prevent Substance Abuse and Other Mental, Emotional, and Behavioral Disorders</w:t>
            </w:r>
          </w:p>
        </w:tc>
        <w:tc>
          <w:tcPr>
            <w:tcW w:w="0" w:type="auto"/>
            <w:tcBorders>
              <w:top w:val="double" w:sz="6" w:space="0" w:color="auto"/>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double" w:sz="6" w:space="0" w:color="auto"/>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3</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4</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2</w:t>
            </w:r>
          </w:p>
        </w:tc>
        <w:tc>
          <w:tcPr>
            <w:tcW w:w="0" w:type="auto"/>
            <w:tcBorders>
              <w:top w:val="double" w:sz="6" w:space="0" w:color="auto"/>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60.9%</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50.0%</w:t>
            </w:r>
          </w:p>
        </w:tc>
      </w:tr>
      <w:tr w:rsidR="001670EC" w:rsidRPr="00680D98" w:rsidTr="004944D9">
        <w:trPr>
          <w:trHeight w:val="288"/>
        </w:trPr>
        <w:tc>
          <w:tcPr>
            <w:tcW w:w="0" w:type="auto"/>
            <w:tcBorders>
              <w:top w:val="nil"/>
              <w:left w:val="nil"/>
              <w:bottom w:val="nil"/>
              <w:right w:val="nil"/>
            </w:tcBorders>
            <w:vAlign w:val="bottom"/>
          </w:tcPr>
          <w:p w:rsidR="001670EC" w:rsidRPr="004944D9" w:rsidRDefault="001670EC" w:rsidP="004944D9">
            <w:pPr>
              <w:spacing w:after="0" w:line="240" w:lineRule="auto"/>
              <w:jc w:val="center"/>
              <w:rPr>
                <w:b/>
                <w:bCs/>
                <w:color w:val="000000"/>
                <w:sz w:val="16"/>
                <w:szCs w:val="16"/>
              </w:rPr>
            </w:pPr>
          </w:p>
        </w:tc>
        <w:tc>
          <w:tcPr>
            <w:tcW w:w="0" w:type="auto"/>
            <w:tcBorders>
              <w:top w:val="nil"/>
              <w:left w:val="nil"/>
              <w:bottom w:val="nil"/>
              <w:right w:val="nil"/>
            </w:tcBorders>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jc w:val="center"/>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c>
          <w:tcPr>
            <w:tcW w:w="0" w:type="auto"/>
            <w:tcBorders>
              <w:top w:val="nil"/>
              <w:left w:val="nil"/>
              <w:bottom w:val="nil"/>
              <w:right w:val="nil"/>
            </w:tcBorders>
            <w:noWrap/>
            <w:vAlign w:val="bottom"/>
          </w:tcPr>
          <w:p w:rsidR="001670EC" w:rsidRPr="004944D9" w:rsidRDefault="001670EC" w:rsidP="004944D9">
            <w:pPr>
              <w:spacing w:after="0" w:line="240" w:lineRule="auto"/>
              <w:rPr>
                <w:color w:val="000000"/>
                <w:sz w:val="16"/>
                <w:szCs w:val="16"/>
              </w:rPr>
            </w:pPr>
          </w:p>
        </w:tc>
      </w:tr>
      <w:tr w:rsidR="001670EC" w:rsidRPr="00680D98" w:rsidTr="00851356">
        <w:trPr>
          <w:trHeight w:val="312"/>
        </w:trPr>
        <w:tc>
          <w:tcPr>
            <w:tcW w:w="0" w:type="auto"/>
            <w:tcBorders>
              <w:top w:val="single" w:sz="8" w:space="0" w:color="auto"/>
              <w:left w:val="single" w:sz="8" w:space="0" w:color="auto"/>
              <w:bottom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tc>
        <w:tc>
          <w:tcPr>
            <w:tcW w:w="0" w:type="auto"/>
            <w:vMerge w:val="restart"/>
            <w:tcBorders>
              <w:top w:val="single" w:sz="8" w:space="0" w:color="auto"/>
              <w:left w:val="nil"/>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 </w:t>
            </w:r>
          </w:p>
          <w:p w:rsidR="001670EC" w:rsidRPr="004944D9" w:rsidRDefault="001670EC" w:rsidP="004944D9">
            <w:pPr>
              <w:jc w:val="center"/>
              <w:rPr>
                <w:b/>
                <w:bCs/>
                <w:color w:val="000000"/>
                <w:sz w:val="16"/>
                <w:szCs w:val="16"/>
              </w:rPr>
            </w:pPr>
            <w:r w:rsidRPr="004944D9">
              <w:rPr>
                <w:b/>
                <w:bCs/>
                <w:color w:val="000000"/>
                <w:sz w:val="16"/>
                <w:szCs w:val="16"/>
              </w:rPr>
              <w:t>2017 Prevention Agenda Benchmark</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Comparison to Benchmark</w:t>
            </w:r>
          </w:p>
        </w:tc>
        <w:tc>
          <w:tcPr>
            <w:tcW w:w="0" w:type="auto"/>
            <w:gridSpan w:val="4"/>
            <w:tcBorders>
              <w:top w:val="single" w:sz="8" w:space="0" w:color="auto"/>
              <w:left w:val="nil"/>
              <w:bottom w:val="single" w:sz="4" w:space="0" w:color="auto"/>
              <w:right w:val="single" w:sz="4"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Ranking</w:t>
            </w:r>
          </w:p>
        </w:tc>
        <w:tc>
          <w:tcPr>
            <w:tcW w:w="0" w:type="auto"/>
            <w:tcBorders>
              <w:top w:val="single" w:sz="8" w:space="0" w:color="auto"/>
              <w:left w:val="nil"/>
              <w:bottom w:val="nil"/>
              <w:right w:val="single" w:sz="4"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8" w:space="0" w:color="auto"/>
              <w:left w:val="nil"/>
              <w:bottom w:val="nil"/>
              <w:right w:val="single" w:sz="8" w:space="0" w:color="auto"/>
            </w:tcBorders>
            <w:shd w:val="clear" w:color="000000" w:fill="A5A5A5"/>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851356">
        <w:trPr>
          <w:trHeight w:val="276"/>
        </w:trPr>
        <w:tc>
          <w:tcPr>
            <w:tcW w:w="0" w:type="auto"/>
            <w:tcBorders>
              <w:top w:val="nil"/>
              <w:left w:val="single" w:sz="8" w:space="0" w:color="auto"/>
              <w:bottom w:val="nil"/>
              <w:right w:val="single" w:sz="8" w:space="0" w:color="auto"/>
            </w:tcBorders>
            <w:shd w:val="clear" w:color="000000" w:fill="A5A5A5"/>
            <w:vAlign w:val="bottom"/>
          </w:tcPr>
          <w:p w:rsidR="001670EC" w:rsidRPr="004944D9" w:rsidRDefault="001670EC" w:rsidP="00954671">
            <w:pPr>
              <w:spacing w:after="0" w:line="240" w:lineRule="auto"/>
              <w:rPr>
                <w:b/>
                <w:bCs/>
                <w:color w:val="000000"/>
                <w:sz w:val="16"/>
                <w:szCs w:val="16"/>
              </w:rPr>
            </w:pPr>
            <w:r w:rsidRPr="004944D9">
              <w:rPr>
                <w:b/>
                <w:bCs/>
                <w:color w:val="000000"/>
                <w:sz w:val="16"/>
                <w:szCs w:val="16"/>
              </w:rPr>
              <w:t> </w:t>
            </w:r>
          </w:p>
        </w:tc>
        <w:tc>
          <w:tcPr>
            <w:tcW w:w="0" w:type="auto"/>
            <w:vMerge/>
            <w:tcBorders>
              <w:left w:val="single" w:sz="4" w:space="0" w:color="auto"/>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val="restart"/>
            <w:tcBorders>
              <w:top w:val="nil"/>
              <w:left w:val="single" w:sz="8"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Q1</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Q2</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Q3</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Q4</w:t>
            </w:r>
          </w:p>
        </w:tc>
        <w:tc>
          <w:tcPr>
            <w:tcW w:w="0" w:type="auto"/>
            <w:vMerge w:val="restart"/>
            <w:tcBorders>
              <w:top w:val="nil"/>
              <w:left w:val="single" w:sz="4" w:space="0" w:color="auto"/>
              <w:bottom w:val="single" w:sz="4" w:space="0" w:color="000000"/>
              <w:right w:val="single" w:sz="4"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Score</w:t>
            </w:r>
          </w:p>
        </w:tc>
        <w:tc>
          <w:tcPr>
            <w:tcW w:w="0" w:type="auto"/>
            <w:vMerge w:val="restart"/>
            <w:tcBorders>
              <w:top w:val="nil"/>
              <w:left w:val="single" w:sz="4" w:space="0" w:color="auto"/>
              <w:bottom w:val="single" w:sz="4" w:space="0" w:color="000000"/>
              <w:right w:val="single" w:sz="8" w:space="0" w:color="auto"/>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Severity Score</w:t>
            </w:r>
          </w:p>
        </w:tc>
      </w:tr>
      <w:tr w:rsidR="001670EC" w:rsidRPr="00680D98" w:rsidTr="00851356">
        <w:trPr>
          <w:trHeight w:val="276"/>
        </w:trPr>
        <w:tc>
          <w:tcPr>
            <w:tcW w:w="0" w:type="auto"/>
            <w:tcBorders>
              <w:top w:val="nil"/>
              <w:left w:val="single" w:sz="8" w:space="0" w:color="auto"/>
              <w:bottom w:val="single" w:sz="4" w:space="0" w:color="auto"/>
              <w:right w:val="single" w:sz="8" w:space="0" w:color="auto"/>
            </w:tcBorders>
            <w:shd w:val="clear" w:color="000000" w:fill="A5A5A5"/>
            <w:vAlign w:val="bottom"/>
          </w:tcPr>
          <w:p w:rsidR="001670EC" w:rsidRPr="00954671" w:rsidRDefault="001670EC" w:rsidP="004944D9">
            <w:pPr>
              <w:spacing w:after="0" w:line="240" w:lineRule="auto"/>
              <w:rPr>
                <w:color w:val="000000"/>
              </w:rPr>
            </w:pPr>
            <w:r w:rsidRPr="004944D9">
              <w:rPr>
                <w:color w:val="000000"/>
                <w:sz w:val="16"/>
                <w:szCs w:val="16"/>
              </w:rPr>
              <w:t> </w:t>
            </w:r>
            <w:r w:rsidRPr="00954671">
              <w:rPr>
                <w:b/>
                <w:bCs/>
                <w:color w:val="000000"/>
              </w:rPr>
              <w:t>Other Non-Prevention Agenda Indicators</w:t>
            </w:r>
          </w:p>
        </w:tc>
        <w:tc>
          <w:tcPr>
            <w:tcW w:w="0" w:type="auto"/>
            <w:vMerge/>
            <w:tcBorders>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single" w:sz="8" w:space="0" w:color="auto"/>
              <w:left w:val="single" w:sz="8"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8"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tcPr>
          <w:p w:rsidR="001670EC" w:rsidRPr="004944D9" w:rsidRDefault="001670EC" w:rsidP="004944D9">
            <w:pPr>
              <w:spacing w:after="0" w:line="240" w:lineRule="auto"/>
              <w:rPr>
                <w:b/>
                <w:bCs/>
                <w:color w:val="000000"/>
                <w:sz w:val="16"/>
                <w:szCs w:val="16"/>
              </w:rPr>
            </w:pPr>
          </w:p>
        </w:tc>
        <w:tc>
          <w:tcPr>
            <w:tcW w:w="0" w:type="auto"/>
            <w:vMerge/>
            <w:tcBorders>
              <w:top w:val="nil"/>
              <w:left w:val="single" w:sz="4" w:space="0" w:color="auto"/>
              <w:bottom w:val="single" w:sz="4" w:space="0" w:color="000000"/>
              <w:right w:val="single" w:sz="8" w:space="0" w:color="auto"/>
            </w:tcBorders>
            <w:vAlign w:val="center"/>
          </w:tcPr>
          <w:p w:rsidR="001670EC" w:rsidRPr="004944D9" w:rsidRDefault="001670EC" w:rsidP="004944D9">
            <w:pPr>
              <w:spacing w:after="0" w:line="240" w:lineRule="auto"/>
              <w:rPr>
                <w:b/>
                <w:bCs/>
                <w:color w:val="000000"/>
                <w:sz w:val="16"/>
                <w:szCs w:val="16"/>
              </w:rPr>
            </w:pPr>
          </w:p>
        </w:tc>
      </w:tr>
      <w:tr w:rsidR="001670EC" w:rsidRPr="00680D98" w:rsidTr="004944D9">
        <w:trPr>
          <w:trHeight w:val="276"/>
        </w:trPr>
        <w:tc>
          <w:tcPr>
            <w:tcW w:w="0" w:type="auto"/>
            <w:tcBorders>
              <w:top w:val="nil"/>
              <w:left w:val="single" w:sz="8" w:space="0" w:color="auto"/>
              <w:bottom w:val="single" w:sz="4" w:space="0" w:color="auto"/>
              <w:right w:val="single" w:sz="8" w:space="0" w:color="auto"/>
            </w:tcBorders>
            <w:shd w:val="clear" w:color="000000" w:fill="FFFFFF"/>
            <w:vAlign w:val="bottom"/>
          </w:tcPr>
          <w:p w:rsidR="001670EC" w:rsidRPr="004944D9" w:rsidRDefault="001670EC" w:rsidP="004944D9">
            <w:pPr>
              <w:spacing w:after="0" w:line="240" w:lineRule="auto"/>
              <w:jc w:val="center"/>
              <w:rPr>
                <w:b/>
                <w:bCs/>
                <w:color w:val="000000"/>
                <w:sz w:val="16"/>
                <w:szCs w:val="16"/>
              </w:rPr>
            </w:pPr>
          </w:p>
        </w:tc>
        <w:tc>
          <w:tcPr>
            <w:tcW w:w="0" w:type="auto"/>
            <w:gridSpan w:val="8"/>
            <w:tcBorders>
              <w:top w:val="nil"/>
              <w:left w:val="nil"/>
              <w:bottom w:val="single" w:sz="4" w:space="0" w:color="auto"/>
              <w:right w:val="single" w:sz="8" w:space="0" w:color="000000"/>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1. Rate of Hepatitis A Cases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single" w:sz="4" w:space="0" w:color="BFBFBF"/>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single" w:sz="4" w:space="0" w:color="BFBFBF"/>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2. Rate of Acute Hepatitis B Cases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3. Rate of TB Cases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4. Rate of e. Coli 157 Cases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5. Rate of Salmonella Cases per 100,000 Population, '08 - 10 </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6. Rate of Shigella Cases per 100,000 Population, '08 - 10</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 xml:space="preserve">7. Rate of Lyme Disease Cases per 100,000 Population, '08 - 10 </w:t>
            </w:r>
          </w:p>
        </w:tc>
        <w:tc>
          <w:tcPr>
            <w:tcW w:w="0" w:type="auto"/>
            <w:tcBorders>
              <w:top w:val="nil"/>
              <w:left w:val="single" w:sz="4" w:space="0" w:color="auto"/>
              <w:bottom w:val="single" w:sz="4" w:space="0" w:color="BFBFBF"/>
              <w:right w:val="nil"/>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single" w:sz="8"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Meets/Better</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BFBFBF"/>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8. Rate of Confirmed Rabies Cases per 100,000 Population, ' 08 - 10</w:t>
            </w:r>
          </w:p>
        </w:tc>
        <w:tc>
          <w:tcPr>
            <w:tcW w:w="0" w:type="auto"/>
            <w:tcBorders>
              <w:top w:val="nil"/>
              <w:left w:val="single" w:sz="4" w:space="0" w:color="auto"/>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BFBFBF"/>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BFBFBF"/>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76"/>
        </w:trPr>
        <w:tc>
          <w:tcPr>
            <w:tcW w:w="0" w:type="auto"/>
            <w:tcBorders>
              <w:top w:val="nil"/>
              <w:left w:val="single" w:sz="8" w:space="0" w:color="auto"/>
              <w:bottom w:val="single" w:sz="4" w:space="0" w:color="auto"/>
              <w:right w:val="nil"/>
            </w:tcBorders>
            <w:vAlign w:val="bottom"/>
          </w:tcPr>
          <w:p w:rsidR="001670EC" w:rsidRPr="004944D9" w:rsidRDefault="001670EC" w:rsidP="004944D9">
            <w:pPr>
              <w:spacing w:after="0" w:line="240" w:lineRule="auto"/>
              <w:rPr>
                <w:color w:val="000000"/>
                <w:sz w:val="16"/>
                <w:szCs w:val="16"/>
              </w:rPr>
            </w:pPr>
            <w:r w:rsidRPr="004944D9">
              <w:rPr>
                <w:color w:val="000000"/>
                <w:sz w:val="16"/>
                <w:szCs w:val="16"/>
              </w:rPr>
              <w:t>9. Rate of Confirmed West Nile Virus Cases (Humans, Horses, Other Animals, Mosquito Pools) per 100,000 Population, '08 - 10</w:t>
            </w:r>
          </w:p>
        </w:tc>
        <w:tc>
          <w:tcPr>
            <w:tcW w:w="0" w:type="auto"/>
            <w:tcBorders>
              <w:top w:val="nil"/>
              <w:left w:val="single" w:sz="4" w:space="0" w:color="auto"/>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N/A</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Less than 10</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tcPr>
          <w:p w:rsidR="001670EC" w:rsidRPr="004944D9" w:rsidRDefault="001670EC" w:rsidP="004944D9">
            <w:pPr>
              <w:spacing w:after="0" w:line="240" w:lineRule="auto"/>
              <w:rPr>
                <w:color w:val="000000"/>
                <w:sz w:val="16"/>
                <w:szCs w:val="16"/>
              </w:rPr>
            </w:pPr>
            <w:r w:rsidRPr="004944D9">
              <w:rPr>
                <w:color w:val="000000"/>
                <w:sz w:val="16"/>
                <w:szCs w:val="16"/>
              </w:rPr>
              <w:t> </w:t>
            </w:r>
          </w:p>
        </w:tc>
      </w:tr>
      <w:tr w:rsidR="001670EC" w:rsidRPr="00680D98" w:rsidTr="004944D9">
        <w:trPr>
          <w:trHeight w:val="288"/>
        </w:trPr>
        <w:tc>
          <w:tcPr>
            <w:tcW w:w="0" w:type="auto"/>
            <w:gridSpan w:val="2"/>
            <w:tcBorders>
              <w:top w:val="nil"/>
              <w:left w:val="single" w:sz="8" w:space="0" w:color="auto"/>
              <w:bottom w:val="single" w:sz="8" w:space="0" w:color="auto"/>
              <w:right w:val="single" w:sz="8" w:space="0" w:color="000000"/>
            </w:tcBorders>
            <w:shd w:val="clear" w:color="000000" w:fill="A5A5A5"/>
            <w:vAlign w:val="bottom"/>
          </w:tcPr>
          <w:p w:rsidR="001670EC" w:rsidRPr="004944D9" w:rsidRDefault="001670EC" w:rsidP="004944D9">
            <w:pPr>
              <w:spacing w:after="0" w:line="240" w:lineRule="auto"/>
              <w:jc w:val="center"/>
              <w:rPr>
                <w:b/>
                <w:bCs/>
                <w:color w:val="000000"/>
                <w:sz w:val="16"/>
                <w:szCs w:val="16"/>
              </w:rPr>
            </w:pPr>
            <w:r w:rsidRPr="004944D9">
              <w:rPr>
                <w:b/>
                <w:bCs/>
                <w:color w:val="000000"/>
                <w:sz w:val="16"/>
                <w:szCs w:val="16"/>
              </w:rPr>
              <w:t>Quartile Summary for Non-Prevention Agenda Issues</w:t>
            </w:r>
          </w:p>
        </w:tc>
        <w:tc>
          <w:tcPr>
            <w:tcW w:w="0" w:type="auto"/>
            <w:tcBorders>
              <w:top w:val="nil"/>
              <w:left w:val="nil"/>
              <w:bottom w:val="single" w:sz="8" w:space="0" w:color="auto"/>
              <w:right w:val="nil"/>
            </w:tcBorders>
            <w:shd w:val="clear" w:color="000000" w:fill="A5A5A5"/>
            <w:noWrap/>
            <w:vAlign w:val="bottom"/>
          </w:tcPr>
          <w:p w:rsidR="001670EC" w:rsidRPr="004944D9" w:rsidRDefault="001670EC" w:rsidP="004944D9">
            <w:pPr>
              <w:spacing w:after="0" w:line="240" w:lineRule="auto"/>
              <w:jc w:val="center"/>
              <w:rPr>
                <w:color w:val="000000"/>
                <w:sz w:val="16"/>
                <w:szCs w:val="16"/>
              </w:rPr>
            </w:pPr>
            <w:r w:rsidRPr="004944D9">
              <w:rPr>
                <w:color w:val="000000"/>
                <w:sz w:val="16"/>
                <w:szCs w:val="16"/>
              </w:rPr>
              <w:t> </w:t>
            </w:r>
          </w:p>
        </w:tc>
        <w:tc>
          <w:tcPr>
            <w:tcW w:w="0" w:type="auto"/>
            <w:tcBorders>
              <w:top w:val="nil"/>
              <w:left w:val="single" w:sz="8" w:space="0" w:color="auto"/>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w:t>
            </w:r>
          </w:p>
        </w:tc>
        <w:tc>
          <w:tcPr>
            <w:tcW w:w="0" w:type="auto"/>
            <w:tcBorders>
              <w:top w:val="nil"/>
              <w:left w:val="nil"/>
              <w:bottom w:val="single" w:sz="8" w:space="0" w:color="auto"/>
              <w:right w:val="single" w:sz="4"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c>
          <w:tcPr>
            <w:tcW w:w="0" w:type="auto"/>
            <w:tcBorders>
              <w:top w:val="nil"/>
              <w:left w:val="nil"/>
              <w:bottom w:val="single" w:sz="8" w:space="0" w:color="auto"/>
              <w:right w:val="single" w:sz="8" w:space="0" w:color="auto"/>
            </w:tcBorders>
            <w:shd w:val="clear" w:color="000000" w:fill="A5A5A5"/>
            <w:noWrap/>
            <w:vAlign w:val="bottom"/>
          </w:tcPr>
          <w:p w:rsidR="001670EC" w:rsidRPr="004944D9" w:rsidRDefault="001670EC" w:rsidP="004944D9">
            <w:pPr>
              <w:spacing w:after="0" w:line="240" w:lineRule="auto"/>
              <w:jc w:val="right"/>
              <w:rPr>
                <w:color w:val="000000"/>
                <w:sz w:val="16"/>
                <w:szCs w:val="16"/>
              </w:rPr>
            </w:pPr>
            <w:r w:rsidRPr="004944D9">
              <w:rPr>
                <w:color w:val="000000"/>
                <w:sz w:val="16"/>
                <w:szCs w:val="16"/>
              </w:rPr>
              <w:t>0.0%</w:t>
            </w:r>
          </w:p>
        </w:tc>
      </w:tr>
    </w:tbl>
    <w:p w:rsidR="001670EC" w:rsidRDefault="001670EC" w:rsidP="00BA49C3">
      <w:pPr>
        <w:pStyle w:val="NoSpacing"/>
        <w:jc w:val="center"/>
        <w:rPr>
          <w:b/>
          <w:u w:val="single"/>
        </w:rPr>
      </w:pPr>
    </w:p>
    <w:p w:rsidR="001670EC" w:rsidRDefault="001670EC" w:rsidP="00BA49C3">
      <w:pPr>
        <w:pStyle w:val="NoSpacing"/>
        <w:jc w:val="center"/>
        <w:rPr>
          <w:b/>
          <w:u w:val="single"/>
        </w:rPr>
      </w:pPr>
    </w:p>
    <w:p w:rsidR="001670EC" w:rsidRDefault="001670EC" w:rsidP="00BA49C3">
      <w:pPr>
        <w:pStyle w:val="NoSpacing"/>
        <w:jc w:val="center"/>
        <w:rPr>
          <w:b/>
          <w:u w:val="single"/>
        </w:rPr>
      </w:pPr>
    </w:p>
    <w:p w:rsidR="001670EC" w:rsidRPr="004944D9" w:rsidRDefault="001670EC" w:rsidP="001D4CE0">
      <w:pPr>
        <w:rPr>
          <w:sz w:val="16"/>
          <w:szCs w:val="16"/>
        </w:rPr>
        <w:sectPr w:rsidR="001670EC" w:rsidRPr="004944D9" w:rsidSect="00D75DD1">
          <w:footerReference w:type="default" r:id="rId35"/>
          <w:pgSz w:w="12240" w:h="15840"/>
          <w:pgMar w:top="1008" w:right="1440" w:bottom="1440" w:left="1440" w:header="720" w:footer="720" w:gutter="0"/>
          <w:pgNumType w:start="1"/>
          <w:cols w:space="720"/>
          <w:docGrid w:linePitch="360"/>
        </w:sectPr>
      </w:pPr>
    </w:p>
    <w:p w:rsidR="001670EC" w:rsidRDefault="001670EC" w:rsidP="00D520B8">
      <w:pPr>
        <w:pStyle w:val="Heading1"/>
      </w:pPr>
      <w:bookmarkStart w:id="42" w:name="_Toc355250987"/>
      <w:r>
        <w:t xml:space="preserve">Appendix 1:  Methodology and </w:t>
      </w:r>
      <w:r w:rsidRPr="00E05103">
        <w:t>D</w:t>
      </w:r>
      <w:r>
        <w:t xml:space="preserve">ata Sources </w:t>
      </w:r>
      <w:bookmarkEnd w:id="42"/>
    </w:p>
    <w:p w:rsidR="001670EC" w:rsidRPr="00D520B8" w:rsidRDefault="001670EC" w:rsidP="00D520B8"/>
    <w:p w:rsidR="001670EC" w:rsidRPr="00D520B8" w:rsidRDefault="001670EC" w:rsidP="00814C68">
      <w:pPr>
        <w:spacing w:after="0" w:line="360" w:lineRule="auto"/>
        <w:rPr>
          <w:sz w:val="21"/>
          <w:szCs w:val="21"/>
        </w:rPr>
      </w:pPr>
      <w:r w:rsidRPr="00D520B8">
        <w:rPr>
          <w:sz w:val="21"/>
          <w:szCs w:val="21"/>
        </w:rPr>
        <w:t xml:space="preserve">The Center for Health Workforce Studies at the University at Albany School of Public Health (the Center) under contract with the Adirondack Rural Health Network, a program of the Adirondack Health Institute, identified and collected data from a variety of sources on the nine counties in the Adirondack region. Those counties include: Clinton, Essex, Franklin, Fulton, Hamilton, Montgomery, Saratoga, Warren, and Washington. </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The initial step in the process was identifying which data elements to collect. Center staff received an initial list of potential data elements from the ARHN Data Subcommittee and then supplemented that information with data from other sources. Since most of the health behavior, status, and outcome data were only available at the county level, the Center in conjunction with the ARHN Data Subcommittee concluded that all data used for the project would be displayed by county and aggregated to the ARHN region.</w:t>
      </w:r>
      <w:r w:rsidRPr="00D520B8">
        <w:rPr>
          <w:rStyle w:val="FootnoteReference"/>
          <w:sz w:val="21"/>
          <w:szCs w:val="21"/>
        </w:rPr>
        <w:footnoteReference w:id="6"/>
      </w:r>
      <w:r w:rsidRPr="00D520B8">
        <w:rPr>
          <w:sz w:val="21"/>
          <w:szCs w:val="21"/>
        </w:rPr>
        <w:t xml:space="preserve"> Additionally, other data were collected to further enhance already identified data. For example, one Prevention Agenda indicator was assault-related hospitalizations. That indicator was augmented by other crime statistics from the New York State Division of Criminal Justice. </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The overall goal of collecting and providing these data to ARHN members was to provide a comprehensive picture of the individual counties within the Adirondack region, including providing an overview of population health as well as an environmental scan. In total, counties and hospitals were provided with nearly 450 distinct data elements across the following four reports:</w:t>
      </w:r>
    </w:p>
    <w:p w:rsidR="001670EC" w:rsidRPr="00D520B8" w:rsidRDefault="001670EC" w:rsidP="00521C49">
      <w:pPr>
        <w:pStyle w:val="ListParagraph"/>
        <w:numPr>
          <w:ilvl w:val="0"/>
          <w:numId w:val="7"/>
        </w:numPr>
        <w:spacing w:after="0" w:line="360" w:lineRule="auto"/>
        <w:rPr>
          <w:sz w:val="21"/>
          <w:szCs w:val="21"/>
        </w:rPr>
      </w:pPr>
      <w:r w:rsidRPr="00D520B8">
        <w:rPr>
          <w:sz w:val="21"/>
          <w:szCs w:val="21"/>
        </w:rPr>
        <w:t xml:space="preserve">Demographic Data; </w:t>
      </w:r>
    </w:p>
    <w:p w:rsidR="001670EC" w:rsidRPr="00D520B8" w:rsidRDefault="001670EC" w:rsidP="00521C49">
      <w:pPr>
        <w:pStyle w:val="ListParagraph"/>
        <w:numPr>
          <w:ilvl w:val="0"/>
          <w:numId w:val="7"/>
        </w:numPr>
        <w:spacing w:after="0" w:line="360" w:lineRule="auto"/>
        <w:rPr>
          <w:sz w:val="21"/>
          <w:szCs w:val="21"/>
        </w:rPr>
      </w:pPr>
      <w:r w:rsidRPr="00D520B8">
        <w:rPr>
          <w:sz w:val="21"/>
          <w:szCs w:val="21"/>
        </w:rPr>
        <w:t xml:space="preserve">Educational Profile; </w:t>
      </w:r>
    </w:p>
    <w:p w:rsidR="001670EC" w:rsidRPr="00D520B8" w:rsidRDefault="001670EC" w:rsidP="00521C49">
      <w:pPr>
        <w:pStyle w:val="ListParagraph"/>
        <w:numPr>
          <w:ilvl w:val="0"/>
          <w:numId w:val="7"/>
        </w:numPr>
        <w:spacing w:after="0" w:line="360" w:lineRule="auto"/>
        <w:rPr>
          <w:sz w:val="21"/>
          <w:szCs w:val="21"/>
        </w:rPr>
      </w:pPr>
      <w:r w:rsidRPr="00D520B8">
        <w:rPr>
          <w:sz w:val="21"/>
          <w:szCs w:val="21"/>
        </w:rPr>
        <w:t>Health Behaviors, Health Outcomes, and Health Status; and</w:t>
      </w:r>
    </w:p>
    <w:p w:rsidR="001670EC" w:rsidRPr="00D520B8" w:rsidRDefault="001670EC" w:rsidP="00521C49">
      <w:pPr>
        <w:pStyle w:val="ListParagraph"/>
        <w:numPr>
          <w:ilvl w:val="0"/>
          <w:numId w:val="7"/>
        </w:numPr>
        <w:spacing w:after="0" w:line="360" w:lineRule="auto"/>
        <w:rPr>
          <w:sz w:val="21"/>
          <w:szCs w:val="21"/>
        </w:rPr>
      </w:pPr>
      <w:r w:rsidRPr="00D520B8">
        <w:rPr>
          <w:sz w:val="21"/>
          <w:szCs w:val="21"/>
        </w:rPr>
        <w:t>Health Delivery System Profile.</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 xml:space="preserve">Data was provided to all counties and hospitals as PDFs as well as in Excel files. All sources for the data were listed and made available to the counties and hospitals. The sources for the data elements in the Health Behaviors, Health Outcomes, and Health Status report were listed in a separate file and included their respective internet URL links. The data in each of the four reports were aggregated, when feasible, into the ARHN region, Upstate New York (all counties but the five in New York City), and statewide. </w:t>
      </w:r>
    </w:p>
    <w:p w:rsidR="001670EC" w:rsidRPr="00D520B8" w:rsidRDefault="001670EC" w:rsidP="00814C68">
      <w:pPr>
        <w:spacing w:after="0" w:line="360" w:lineRule="auto"/>
        <w:rPr>
          <w:sz w:val="21"/>
          <w:szCs w:val="21"/>
          <w:u w:val="single"/>
        </w:rPr>
      </w:pPr>
    </w:p>
    <w:p w:rsidR="001670EC" w:rsidRPr="00D520B8" w:rsidRDefault="001670EC" w:rsidP="00814C68">
      <w:pPr>
        <w:spacing w:after="0" w:line="360" w:lineRule="auto"/>
        <w:rPr>
          <w:sz w:val="21"/>
          <w:szCs w:val="21"/>
          <w:u w:val="single"/>
        </w:rPr>
      </w:pPr>
      <w:r w:rsidRPr="00D520B8">
        <w:rPr>
          <w:sz w:val="21"/>
          <w:szCs w:val="21"/>
          <w:u w:val="single"/>
        </w:rPr>
        <w:t>Demographic Data</w:t>
      </w:r>
    </w:p>
    <w:p w:rsidR="001670EC" w:rsidRPr="00D520B8" w:rsidRDefault="001670EC" w:rsidP="00814C68">
      <w:pPr>
        <w:spacing w:after="0" w:line="360" w:lineRule="auto"/>
        <w:rPr>
          <w:sz w:val="21"/>
          <w:szCs w:val="21"/>
        </w:rPr>
      </w:pPr>
      <w:r w:rsidRPr="00D520B8">
        <w:rPr>
          <w:sz w:val="21"/>
          <w:szCs w:val="21"/>
        </w:rPr>
        <w:t>Demographic data was primarily taken from the 2007 - 2011 American Community Survey, supplemented with data from the Bureau of Labor Statistics, Local Area Unemployment Statistics for 2011; the New York State Department of Health (NYSDOH) Medicaid Data for 2011; and employment sector data from the 2009 – 2011 American Community Survey. Among the information incorporated into the demographic report included:</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Race/Ethnicity;</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Age by groups (0 – 4, 5 – 17, 18 – 64, and 65 plus);</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Income and poverty, including the percent who received Medicaid;</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Housing stock;</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Availability of vehicles;</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 xml:space="preserve">Education status for those 25 and older; </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Employment status; and</w:t>
      </w:r>
    </w:p>
    <w:p w:rsidR="001670EC" w:rsidRPr="00D520B8" w:rsidRDefault="001670EC" w:rsidP="00521C49">
      <w:pPr>
        <w:pStyle w:val="ListParagraph"/>
        <w:numPr>
          <w:ilvl w:val="0"/>
          <w:numId w:val="8"/>
        </w:numPr>
        <w:spacing w:after="0" w:line="360" w:lineRule="auto"/>
        <w:rPr>
          <w:sz w:val="21"/>
          <w:szCs w:val="21"/>
        </w:rPr>
      </w:pPr>
      <w:r w:rsidRPr="00D520B8">
        <w:rPr>
          <w:sz w:val="21"/>
          <w:szCs w:val="21"/>
        </w:rPr>
        <w:t>Employment sector.</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u w:val="single"/>
        </w:rPr>
      </w:pPr>
      <w:r w:rsidRPr="00D520B8">
        <w:rPr>
          <w:sz w:val="21"/>
          <w:szCs w:val="21"/>
          <w:u w:val="single"/>
        </w:rPr>
        <w:t>Educational Profile</w:t>
      </w:r>
    </w:p>
    <w:p w:rsidR="001670EC" w:rsidRPr="00D520B8" w:rsidRDefault="001670EC" w:rsidP="00814C68">
      <w:pPr>
        <w:spacing w:after="0" w:line="360" w:lineRule="auto"/>
        <w:rPr>
          <w:sz w:val="21"/>
          <w:szCs w:val="21"/>
        </w:rPr>
      </w:pPr>
      <w:r w:rsidRPr="00D520B8">
        <w:rPr>
          <w:sz w:val="21"/>
          <w:szCs w:val="21"/>
        </w:rPr>
        <w:t>The education profile was taken mainly from the New York State Education Department (NYSED), School Report Card for 2010 – 2011, supplemented with data from the National Center for Education Statistics, Integrated Post-Secondary Data System on Post-Secondary graduations for 2010 – 2011 and registered nurse graduations from the Center. Among the data displayed in the educational profile included:</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Number of school districts;</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Total school district enrollment;</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Number of students on free and reduced lunch;</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 xml:space="preserve">Dropout rate; </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Total number of teachers;</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Number of and graduations from licensed practical nurse programs; and</w:t>
      </w:r>
    </w:p>
    <w:p w:rsidR="001670EC" w:rsidRPr="00D520B8" w:rsidRDefault="001670EC" w:rsidP="00521C49">
      <w:pPr>
        <w:pStyle w:val="ListParagraph"/>
        <w:numPr>
          <w:ilvl w:val="0"/>
          <w:numId w:val="9"/>
        </w:numPr>
        <w:spacing w:after="0" w:line="360" w:lineRule="auto"/>
        <w:rPr>
          <w:sz w:val="21"/>
          <w:szCs w:val="21"/>
        </w:rPr>
      </w:pPr>
      <w:r w:rsidRPr="00D520B8">
        <w:rPr>
          <w:sz w:val="21"/>
          <w:szCs w:val="21"/>
        </w:rPr>
        <w:t>Number of and graduations from registered nurse programs.</w:t>
      </w:r>
    </w:p>
    <w:p w:rsidR="001670EC" w:rsidRPr="00D520B8" w:rsidRDefault="001670EC" w:rsidP="00814C68">
      <w:pPr>
        <w:spacing w:after="0" w:line="360" w:lineRule="auto"/>
        <w:rPr>
          <w:sz w:val="21"/>
          <w:szCs w:val="21"/>
          <w:u w:val="single"/>
        </w:rPr>
      </w:pPr>
    </w:p>
    <w:p w:rsidR="001670EC" w:rsidRPr="00D520B8" w:rsidRDefault="001670EC" w:rsidP="00814C68">
      <w:pPr>
        <w:spacing w:after="0" w:line="360" w:lineRule="auto"/>
        <w:rPr>
          <w:sz w:val="21"/>
          <w:szCs w:val="21"/>
          <w:u w:val="single"/>
        </w:rPr>
      </w:pPr>
    </w:p>
    <w:p w:rsidR="001670EC" w:rsidRPr="00D520B8" w:rsidRDefault="001670EC" w:rsidP="00814C68">
      <w:pPr>
        <w:spacing w:after="0" w:line="360" w:lineRule="auto"/>
        <w:rPr>
          <w:sz w:val="21"/>
          <w:szCs w:val="21"/>
          <w:u w:val="single"/>
        </w:rPr>
      </w:pPr>
      <w:r w:rsidRPr="00D520B8">
        <w:rPr>
          <w:sz w:val="21"/>
          <w:szCs w:val="21"/>
          <w:u w:val="single"/>
        </w:rPr>
        <w:t>Health Behaviors, Health Outcomes, and Health Status</w:t>
      </w:r>
    </w:p>
    <w:p w:rsidR="001670EC" w:rsidRPr="00D520B8" w:rsidRDefault="001670EC" w:rsidP="00814C68">
      <w:pPr>
        <w:spacing w:after="0" w:line="360" w:lineRule="auto"/>
        <w:rPr>
          <w:sz w:val="21"/>
          <w:szCs w:val="21"/>
        </w:rPr>
      </w:pPr>
      <w:r w:rsidRPr="00D520B8">
        <w:rPr>
          <w:sz w:val="21"/>
          <w:szCs w:val="21"/>
        </w:rPr>
        <w:t>The vast majority of health behaviors, outcomes, and status data come from NYSDOH. Data sources included the:</w:t>
      </w:r>
    </w:p>
    <w:p w:rsidR="001670EC" w:rsidRPr="00D520B8" w:rsidRDefault="001670EC" w:rsidP="00521C49">
      <w:pPr>
        <w:pStyle w:val="ListParagraph"/>
        <w:numPr>
          <w:ilvl w:val="0"/>
          <w:numId w:val="11"/>
        </w:numPr>
        <w:spacing w:after="0" w:line="360" w:lineRule="auto"/>
        <w:rPr>
          <w:sz w:val="21"/>
          <w:szCs w:val="21"/>
        </w:rPr>
      </w:pPr>
      <w:r w:rsidRPr="00D520B8">
        <w:rPr>
          <w:sz w:val="21"/>
          <w:szCs w:val="21"/>
        </w:rPr>
        <w:t>Community Health Indicators Report (</w:t>
      </w:r>
      <w:hyperlink r:id="rId36" w:history="1">
        <w:r w:rsidRPr="00D520B8">
          <w:rPr>
            <w:rStyle w:val="Hyperlink"/>
            <w:sz w:val="21"/>
            <w:szCs w:val="21"/>
          </w:rPr>
          <w:t>http://www.health.ny.gov/statistics/chac/indicators/</w:t>
        </w:r>
      </w:hyperlink>
      <w:r w:rsidRPr="00D520B8">
        <w:rPr>
          <w:sz w:val="21"/>
          <w:szCs w:val="21"/>
        </w:rPr>
        <w:t xml:space="preserve">); </w:t>
      </w:r>
    </w:p>
    <w:p w:rsidR="001670EC" w:rsidRPr="00D520B8" w:rsidRDefault="001670EC" w:rsidP="00521C49">
      <w:pPr>
        <w:pStyle w:val="ListParagraph"/>
        <w:numPr>
          <w:ilvl w:val="0"/>
          <w:numId w:val="11"/>
        </w:numPr>
        <w:spacing w:after="0" w:line="360" w:lineRule="auto"/>
        <w:rPr>
          <w:sz w:val="21"/>
          <w:szCs w:val="21"/>
        </w:rPr>
      </w:pPr>
      <w:r w:rsidRPr="00D520B8">
        <w:rPr>
          <w:sz w:val="21"/>
          <w:szCs w:val="21"/>
        </w:rPr>
        <w:t>County Health Indicators by Race/Ethnicity (</w:t>
      </w:r>
      <w:hyperlink r:id="rId37" w:history="1">
        <w:r w:rsidRPr="00D520B8">
          <w:rPr>
            <w:rStyle w:val="Hyperlink"/>
            <w:sz w:val="21"/>
            <w:szCs w:val="21"/>
          </w:rPr>
          <w:t>http://www.health.ny.gov/statistics/community/minority/county/</w:t>
        </w:r>
      </w:hyperlink>
      <w:r w:rsidRPr="00D520B8">
        <w:rPr>
          <w:sz w:val="21"/>
          <w:szCs w:val="21"/>
        </w:rPr>
        <w:t xml:space="preserve">); </w:t>
      </w:r>
    </w:p>
    <w:p w:rsidR="001670EC" w:rsidRPr="00D520B8" w:rsidRDefault="001670EC" w:rsidP="00521C49">
      <w:pPr>
        <w:pStyle w:val="ListParagraph"/>
        <w:numPr>
          <w:ilvl w:val="0"/>
          <w:numId w:val="11"/>
        </w:numPr>
        <w:spacing w:after="0" w:line="360" w:lineRule="auto"/>
        <w:rPr>
          <w:sz w:val="21"/>
          <w:szCs w:val="21"/>
        </w:rPr>
      </w:pPr>
      <w:r w:rsidRPr="00D520B8">
        <w:rPr>
          <w:sz w:val="21"/>
          <w:szCs w:val="21"/>
        </w:rPr>
        <w:t>County Dashboards of Indicators for Tracking Public Health Priority Areas, 2013 - 2013 (</w:t>
      </w:r>
      <w:hyperlink r:id="rId38" w:history="1">
        <w:r w:rsidRPr="00D520B8">
          <w:rPr>
            <w:rStyle w:val="Hyperlink"/>
            <w:sz w:val="21"/>
            <w:szCs w:val="21"/>
          </w:rPr>
          <w:t>http://www.health.ny.gov/prevention/prevention_agenda/2013-2017/indicators/2013/indicator_map.htm</w:t>
        </w:r>
      </w:hyperlink>
      <w:r w:rsidRPr="00D520B8">
        <w:rPr>
          <w:sz w:val="21"/>
          <w:szCs w:val="21"/>
        </w:rPr>
        <w:t xml:space="preserve">); and </w:t>
      </w:r>
    </w:p>
    <w:p w:rsidR="001670EC" w:rsidRPr="00D520B8" w:rsidRDefault="001670EC" w:rsidP="00521C49">
      <w:pPr>
        <w:pStyle w:val="ListParagraph"/>
        <w:numPr>
          <w:ilvl w:val="0"/>
          <w:numId w:val="11"/>
        </w:numPr>
        <w:spacing w:after="0" w:line="360" w:lineRule="auto"/>
        <w:rPr>
          <w:sz w:val="21"/>
          <w:szCs w:val="21"/>
        </w:rPr>
      </w:pPr>
      <w:r w:rsidRPr="00D520B8">
        <w:rPr>
          <w:sz w:val="21"/>
          <w:szCs w:val="21"/>
        </w:rPr>
        <w:t>2008 – 2009 Behavioral Risk Factor Surveillance System (BRFSS) (</w:t>
      </w:r>
      <w:hyperlink r:id="rId39" w:history="1">
        <w:r w:rsidRPr="00D520B8">
          <w:rPr>
            <w:rStyle w:val="Hyperlink"/>
            <w:sz w:val="21"/>
            <w:szCs w:val="21"/>
          </w:rPr>
          <w:t>http://www.health.ny.gov/statistics/brfss/</w:t>
        </w:r>
      </w:hyperlink>
      <w:r w:rsidRPr="00D520B8">
        <w:rPr>
          <w:sz w:val="21"/>
          <w:szCs w:val="21"/>
        </w:rPr>
        <w:t xml:space="preserve">). </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 xml:space="preserve">Information on NYSDOH’s methodologies used to collect and display data from the above sources can be found on their respective data pages. </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 xml:space="preserve">NYSDOH data used in this report are updated annually, with the exception of BRFSS data, and most of the data were for the years 2008 – 2010. Cancer data were for the years 2007 – 2009, and BRFSS data were from the 2008 and 2009 survey. Data displayed in this report included an average annual rate or percentage and, when available, counts for the individual three years. The years the data covered were listed both in the report as well as in the sources document. </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NYSDOH data also was supplemented from other sources such as the County Health rankings, the New York State Division of Criminal Justice Services, the New York State Institute for Traffic Safety Management and Research, and the New York State Office of Mental Health Patient Characteristics Survey, among others. To the extent possible, Center staff used similar years for the additional data that were collected. Nearly 300 data elements are displayed in this report broken out by the Prevention Agenda focus areas.</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 xml:space="preserve">Data were downloaded from their various sources and stored in separate Excel files, based on their respective focus area. The Health Behaviors, Health Outcomes, and Health Status report was created in Excel and linked to the raw data, and population rates were recalculated based on the number of cases as well as the population listed in the data source. </w:t>
      </w:r>
    </w:p>
    <w:p w:rsidR="001670EC" w:rsidRDefault="001670EC" w:rsidP="00814C68">
      <w:pPr>
        <w:spacing w:after="0" w:line="360" w:lineRule="auto"/>
        <w:rPr>
          <w:sz w:val="21"/>
          <w:szCs w:val="21"/>
        </w:rPr>
      </w:pPr>
      <w:r w:rsidRPr="00D520B8">
        <w:rPr>
          <w:sz w:val="21"/>
          <w:szCs w:val="21"/>
        </w:rPr>
        <w:t xml:space="preserve">Data in the report were organized by the six priority areas as outlined by NYSDOH at </w:t>
      </w:r>
      <w:hyperlink r:id="rId40" w:history="1">
        <w:r w:rsidRPr="00D520B8">
          <w:rPr>
            <w:rStyle w:val="Hyperlink"/>
            <w:sz w:val="21"/>
            <w:szCs w:val="21"/>
          </w:rPr>
          <w:t>http://www.health.ny.gov/prevention/prevention_agenda/2013-2017/</w:t>
        </w:r>
      </w:hyperlink>
      <w:r w:rsidRPr="00D520B8">
        <w:rPr>
          <w:sz w:val="21"/>
          <w:szCs w:val="21"/>
        </w:rPr>
        <w:t>. The data were also separated into two subsections, those that were identified as Prevention Agenda indicators and those that were “other indicators.” The data elements were organized by 17 focus areas as outlined in the table below.</w:t>
      </w:r>
    </w:p>
    <w:p w:rsidR="001670EC" w:rsidRPr="00D520B8" w:rsidRDefault="001670EC" w:rsidP="00814C68">
      <w:pPr>
        <w:spacing w:after="0" w:line="360" w:lineRule="auto"/>
        <w:rPr>
          <w:sz w:val="21"/>
          <w:szCs w:val="21"/>
        </w:rPr>
      </w:pPr>
    </w:p>
    <w:p w:rsidR="001670EC" w:rsidRPr="00D520B8" w:rsidRDefault="001670EC" w:rsidP="00814C68">
      <w:pPr>
        <w:spacing w:after="0" w:line="240" w:lineRule="auto"/>
        <w:rPr>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4"/>
        <w:gridCol w:w="1260"/>
        <w:gridCol w:w="1260"/>
      </w:tblGrid>
      <w:tr w:rsidR="001670EC" w:rsidRPr="00D520B8" w:rsidTr="00680D98">
        <w:trPr>
          <w:jc w:val="center"/>
        </w:trPr>
        <w:tc>
          <w:tcPr>
            <w:tcW w:w="5274" w:type="dxa"/>
            <w:vMerge w:val="restart"/>
            <w:vAlign w:val="bottom"/>
          </w:tcPr>
          <w:p w:rsidR="001670EC" w:rsidRPr="00D520B8" w:rsidRDefault="001670EC" w:rsidP="00680D98">
            <w:pPr>
              <w:spacing w:after="0" w:line="240" w:lineRule="auto"/>
              <w:jc w:val="center"/>
              <w:rPr>
                <w:sz w:val="21"/>
                <w:szCs w:val="21"/>
              </w:rPr>
            </w:pPr>
            <w:r w:rsidRPr="00D520B8">
              <w:rPr>
                <w:sz w:val="21"/>
                <w:szCs w:val="21"/>
              </w:rPr>
              <w:t>Focus Area</w:t>
            </w:r>
          </w:p>
        </w:tc>
        <w:tc>
          <w:tcPr>
            <w:tcW w:w="2520" w:type="dxa"/>
            <w:gridSpan w:val="2"/>
            <w:vAlign w:val="bottom"/>
          </w:tcPr>
          <w:p w:rsidR="001670EC" w:rsidRPr="00D520B8" w:rsidRDefault="001670EC" w:rsidP="00680D98">
            <w:pPr>
              <w:spacing w:after="0" w:line="240" w:lineRule="auto"/>
              <w:jc w:val="center"/>
              <w:rPr>
                <w:sz w:val="21"/>
                <w:szCs w:val="21"/>
              </w:rPr>
            </w:pPr>
            <w:r w:rsidRPr="00D520B8">
              <w:rPr>
                <w:sz w:val="21"/>
                <w:szCs w:val="21"/>
              </w:rPr>
              <w:t>Number of Indicators</w:t>
            </w:r>
          </w:p>
        </w:tc>
      </w:tr>
      <w:tr w:rsidR="001670EC" w:rsidRPr="00D520B8" w:rsidTr="00680D98">
        <w:trPr>
          <w:jc w:val="center"/>
        </w:trPr>
        <w:tc>
          <w:tcPr>
            <w:tcW w:w="5274" w:type="dxa"/>
            <w:vMerge/>
            <w:vAlign w:val="bottom"/>
          </w:tcPr>
          <w:p w:rsidR="001670EC" w:rsidRPr="00D520B8" w:rsidRDefault="001670EC" w:rsidP="00680D98">
            <w:pPr>
              <w:spacing w:after="0" w:line="240" w:lineRule="auto"/>
              <w:jc w:val="center"/>
              <w:rPr>
                <w:sz w:val="21"/>
                <w:szCs w:val="21"/>
              </w:rPr>
            </w:pPr>
          </w:p>
        </w:tc>
        <w:tc>
          <w:tcPr>
            <w:tcW w:w="1260" w:type="dxa"/>
            <w:vAlign w:val="bottom"/>
          </w:tcPr>
          <w:p w:rsidR="001670EC" w:rsidRPr="00D520B8" w:rsidRDefault="001670EC" w:rsidP="00680D98">
            <w:pPr>
              <w:spacing w:after="0" w:line="240" w:lineRule="auto"/>
              <w:jc w:val="center"/>
              <w:rPr>
                <w:sz w:val="21"/>
                <w:szCs w:val="21"/>
              </w:rPr>
            </w:pPr>
            <w:r w:rsidRPr="00D520B8">
              <w:rPr>
                <w:sz w:val="21"/>
                <w:szCs w:val="21"/>
              </w:rPr>
              <w:t>Prevention Agenda</w:t>
            </w:r>
          </w:p>
        </w:tc>
        <w:tc>
          <w:tcPr>
            <w:tcW w:w="1260" w:type="dxa"/>
            <w:vAlign w:val="bottom"/>
          </w:tcPr>
          <w:p w:rsidR="001670EC" w:rsidRPr="00D520B8" w:rsidRDefault="001670EC" w:rsidP="00680D98">
            <w:pPr>
              <w:spacing w:after="0" w:line="240" w:lineRule="auto"/>
              <w:jc w:val="center"/>
              <w:rPr>
                <w:sz w:val="21"/>
                <w:szCs w:val="21"/>
              </w:rPr>
            </w:pPr>
            <w:r w:rsidRPr="00D520B8">
              <w:rPr>
                <w:sz w:val="21"/>
                <w:szCs w:val="21"/>
              </w:rPr>
              <w:t>Other</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Health Disparities</w:t>
            </w:r>
          </w:p>
        </w:tc>
        <w:tc>
          <w:tcPr>
            <w:tcW w:w="1260" w:type="dxa"/>
          </w:tcPr>
          <w:p w:rsidR="001670EC" w:rsidRPr="00D520B8" w:rsidRDefault="001670EC" w:rsidP="00680D98">
            <w:pPr>
              <w:spacing w:after="0" w:line="240" w:lineRule="auto"/>
              <w:jc w:val="center"/>
              <w:rPr>
                <w:sz w:val="21"/>
                <w:szCs w:val="21"/>
              </w:rPr>
            </w:pPr>
            <w:r w:rsidRPr="00D520B8">
              <w:rPr>
                <w:sz w:val="21"/>
                <w:szCs w:val="21"/>
              </w:rPr>
              <w:t>8</w:t>
            </w:r>
          </w:p>
        </w:tc>
        <w:tc>
          <w:tcPr>
            <w:tcW w:w="1260" w:type="dxa"/>
          </w:tcPr>
          <w:p w:rsidR="001670EC" w:rsidRPr="00D520B8" w:rsidRDefault="001670EC" w:rsidP="00680D98">
            <w:pPr>
              <w:spacing w:after="0" w:line="240" w:lineRule="auto"/>
              <w:jc w:val="center"/>
              <w:rPr>
                <w:sz w:val="21"/>
                <w:szCs w:val="21"/>
              </w:rPr>
            </w:pPr>
            <w:r w:rsidRPr="00D520B8">
              <w:rPr>
                <w:sz w:val="21"/>
                <w:szCs w:val="21"/>
              </w:rPr>
              <w:t>11</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Injuries, Violence, and Occupational Health</w:t>
            </w:r>
          </w:p>
        </w:tc>
        <w:tc>
          <w:tcPr>
            <w:tcW w:w="1260" w:type="dxa"/>
          </w:tcPr>
          <w:p w:rsidR="001670EC" w:rsidRPr="00D520B8" w:rsidRDefault="001670EC" w:rsidP="00680D98">
            <w:pPr>
              <w:spacing w:after="0" w:line="240" w:lineRule="auto"/>
              <w:jc w:val="center"/>
              <w:rPr>
                <w:sz w:val="21"/>
                <w:szCs w:val="21"/>
              </w:rPr>
            </w:pPr>
            <w:r w:rsidRPr="00D520B8">
              <w:rPr>
                <w:sz w:val="21"/>
                <w:szCs w:val="21"/>
              </w:rPr>
              <w:t>7</w:t>
            </w:r>
          </w:p>
        </w:tc>
        <w:tc>
          <w:tcPr>
            <w:tcW w:w="1260" w:type="dxa"/>
          </w:tcPr>
          <w:p w:rsidR="001670EC" w:rsidRPr="00D520B8" w:rsidRDefault="001670EC" w:rsidP="00680D98">
            <w:pPr>
              <w:spacing w:after="0" w:line="240" w:lineRule="auto"/>
              <w:jc w:val="center"/>
              <w:rPr>
                <w:sz w:val="21"/>
                <w:szCs w:val="21"/>
              </w:rPr>
            </w:pPr>
            <w:r w:rsidRPr="00D520B8">
              <w:rPr>
                <w:sz w:val="21"/>
                <w:szCs w:val="21"/>
              </w:rPr>
              <w:t>21</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Outdoor Air Quality</w:t>
            </w:r>
          </w:p>
        </w:tc>
        <w:tc>
          <w:tcPr>
            <w:tcW w:w="1260" w:type="dxa"/>
          </w:tcPr>
          <w:p w:rsidR="001670EC" w:rsidRPr="00D520B8" w:rsidRDefault="001670EC" w:rsidP="00680D98">
            <w:pPr>
              <w:spacing w:after="0" w:line="240" w:lineRule="auto"/>
              <w:jc w:val="center"/>
              <w:rPr>
                <w:sz w:val="21"/>
                <w:szCs w:val="21"/>
              </w:rPr>
            </w:pPr>
            <w:r w:rsidRPr="00D520B8">
              <w:rPr>
                <w:sz w:val="21"/>
                <w:szCs w:val="21"/>
              </w:rPr>
              <w:t>2</w:t>
            </w:r>
          </w:p>
        </w:tc>
        <w:tc>
          <w:tcPr>
            <w:tcW w:w="1260" w:type="dxa"/>
          </w:tcPr>
          <w:p w:rsidR="001670EC" w:rsidRPr="00D520B8" w:rsidRDefault="001670EC" w:rsidP="00680D98">
            <w:pPr>
              <w:spacing w:after="0" w:line="240" w:lineRule="auto"/>
              <w:jc w:val="center"/>
              <w:rPr>
                <w:sz w:val="21"/>
                <w:szCs w:val="21"/>
              </w:rPr>
            </w:pPr>
            <w:r w:rsidRPr="00D520B8">
              <w:rPr>
                <w:sz w:val="21"/>
                <w:szCs w:val="21"/>
              </w:rPr>
              <w:t>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Built Environment</w:t>
            </w:r>
          </w:p>
        </w:tc>
        <w:tc>
          <w:tcPr>
            <w:tcW w:w="1260" w:type="dxa"/>
          </w:tcPr>
          <w:p w:rsidR="001670EC" w:rsidRPr="00D520B8" w:rsidRDefault="001670EC" w:rsidP="00680D98">
            <w:pPr>
              <w:spacing w:after="0" w:line="240" w:lineRule="auto"/>
              <w:jc w:val="center"/>
              <w:rPr>
                <w:sz w:val="21"/>
                <w:szCs w:val="21"/>
              </w:rPr>
            </w:pPr>
            <w:r w:rsidRPr="00D520B8">
              <w:rPr>
                <w:sz w:val="21"/>
                <w:szCs w:val="21"/>
              </w:rPr>
              <w:t>4</w:t>
            </w:r>
          </w:p>
        </w:tc>
        <w:tc>
          <w:tcPr>
            <w:tcW w:w="1260" w:type="dxa"/>
          </w:tcPr>
          <w:p w:rsidR="001670EC" w:rsidRPr="00D520B8" w:rsidRDefault="001670EC" w:rsidP="00680D98">
            <w:pPr>
              <w:spacing w:after="0" w:line="240" w:lineRule="auto"/>
              <w:jc w:val="center"/>
              <w:rPr>
                <w:sz w:val="21"/>
                <w:szCs w:val="21"/>
              </w:rPr>
            </w:pPr>
            <w:r w:rsidRPr="00D520B8">
              <w:rPr>
                <w:sz w:val="21"/>
                <w:szCs w:val="21"/>
              </w:rPr>
              <w:t>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Water Quality</w:t>
            </w:r>
          </w:p>
        </w:tc>
        <w:tc>
          <w:tcPr>
            <w:tcW w:w="1260" w:type="dxa"/>
          </w:tcPr>
          <w:p w:rsidR="001670EC" w:rsidRPr="00D520B8" w:rsidRDefault="001670EC" w:rsidP="00680D98">
            <w:pPr>
              <w:spacing w:after="0" w:line="240" w:lineRule="auto"/>
              <w:jc w:val="center"/>
              <w:rPr>
                <w:sz w:val="21"/>
                <w:szCs w:val="21"/>
              </w:rPr>
            </w:pPr>
            <w:r w:rsidRPr="00D520B8">
              <w:rPr>
                <w:sz w:val="21"/>
                <w:szCs w:val="21"/>
              </w:rPr>
              <w:t>1</w:t>
            </w:r>
          </w:p>
        </w:tc>
        <w:tc>
          <w:tcPr>
            <w:tcW w:w="1260" w:type="dxa"/>
          </w:tcPr>
          <w:p w:rsidR="001670EC" w:rsidRPr="00D520B8" w:rsidRDefault="001670EC" w:rsidP="00680D98">
            <w:pPr>
              <w:spacing w:after="0" w:line="240" w:lineRule="auto"/>
              <w:jc w:val="center"/>
              <w:rPr>
                <w:sz w:val="21"/>
                <w:szCs w:val="21"/>
              </w:rPr>
            </w:pPr>
            <w:r w:rsidRPr="00D520B8">
              <w:rPr>
                <w:sz w:val="21"/>
                <w:szCs w:val="21"/>
              </w:rPr>
              <w:t>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Obesity in Children and Adults</w:t>
            </w:r>
          </w:p>
        </w:tc>
        <w:tc>
          <w:tcPr>
            <w:tcW w:w="1260" w:type="dxa"/>
          </w:tcPr>
          <w:p w:rsidR="001670EC" w:rsidRPr="00D520B8" w:rsidRDefault="001670EC" w:rsidP="00680D98">
            <w:pPr>
              <w:spacing w:after="0" w:line="240" w:lineRule="auto"/>
              <w:jc w:val="center"/>
              <w:rPr>
                <w:sz w:val="21"/>
                <w:szCs w:val="21"/>
              </w:rPr>
            </w:pPr>
            <w:r w:rsidRPr="00D520B8">
              <w:rPr>
                <w:sz w:val="21"/>
                <w:szCs w:val="21"/>
              </w:rPr>
              <w:t>2</w:t>
            </w:r>
          </w:p>
        </w:tc>
        <w:tc>
          <w:tcPr>
            <w:tcW w:w="1260" w:type="dxa"/>
          </w:tcPr>
          <w:p w:rsidR="001670EC" w:rsidRPr="00D520B8" w:rsidRDefault="001670EC" w:rsidP="00680D98">
            <w:pPr>
              <w:spacing w:after="0" w:line="240" w:lineRule="auto"/>
              <w:jc w:val="center"/>
              <w:rPr>
                <w:sz w:val="21"/>
                <w:szCs w:val="21"/>
              </w:rPr>
            </w:pPr>
            <w:r w:rsidRPr="00D520B8">
              <w:rPr>
                <w:sz w:val="21"/>
                <w:szCs w:val="21"/>
              </w:rPr>
              <w:t>35</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Reduce Illness, Disability, and Death Related to Tobacco Use and Secondhand Smoke Exposure</w:t>
            </w:r>
          </w:p>
        </w:tc>
        <w:tc>
          <w:tcPr>
            <w:tcW w:w="1260" w:type="dxa"/>
          </w:tcPr>
          <w:p w:rsidR="001670EC" w:rsidRPr="00D520B8" w:rsidRDefault="001670EC" w:rsidP="00680D98">
            <w:pPr>
              <w:spacing w:after="0" w:line="240" w:lineRule="auto"/>
              <w:jc w:val="center"/>
              <w:rPr>
                <w:sz w:val="21"/>
                <w:szCs w:val="21"/>
              </w:rPr>
            </w:pPr>
            <w:r w:rsidRPr="00D520B8">
              <w:rPr>
                <w:sz w:val="21"/>
                <w:szCs w:val="21"/>
              </w:rPr>
              <w:t>1</w:t>
            </w:r>
          </w:p>
        </w:tc>
        <w:tc>
          <w:tcPr>
            <w:tcW w:w="1260" w:type="dxa"/>
          </w:tcPr>
          <w:p w:rsidR="001670EC" w:rsidRPr="00D520B8" w:rsidRDefault="001670EC" w:rsidP="00680D98">
            <w:pPr>
              <w:spacing w:after="0" w:line="240" w:lineRule="auto"/>
              <w:jc w:val="center"/>
              <w:rPr>
                <w:sz w:val="21"/>
                <w:szCs w:val="21"/>
              </w:rPr>
            </w:pPr>
            <w:r w:rsidRPr="00D520B8">
              <w:rPr>
                <w:sz w:val="21"/>
                <w:szCs w:val="21"/>
              </w:rPr>
              <w:t>13</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Increase Access to High Quality Chronic Disease Preventive Care and Management</w:t>
            </w:r>
          </w:p>
        </w:tc>
        <w:tc>
          <w:tcPr>
            <w:tcW w:w="1260" w:type="dxa"/>
          </w:tcPr>
          <w:p w:rsidR="001670EC" w:rsidRPr="00D520B8" w:rsidRDefault="001670EC" w:rsidP="00680D98">
            <w:pPr>
              <w:spacing w:after="0" w:line="240" w:lineRule="auto"/>
              <w:jc w:val="center"/>
              <w:rPr>
                <w:sz w:val="21"/>
                <w:szCs w:val="21"/>
              </w:rPr>
            </w:pPr>
            <w:r w:rsidRPr="00D520B8">
              <w:rPr>
                <w:sz w:val="21"/>
                <w:szCs w:val="21"/>
              </w:rPr>
              <w:t>6</w:t>
            </w:r>
          </w:p>
        </w:tc>
        <w:tc>
          <w:tcPr>
            <w:tcW w:w="1260" w:type="dxa"/>
          </w:tcPr>
          <w:p w:rsidR="001670EC" w:rsidRPr="00D520B8" w:rsidRDefault="001670EC" w:rsidP="00680D98">
            <w:pPr>
              <w:spacing w:after="0" w:line="240" w:lineRule="auto"/>
              <w:jc w:val="center"/>
              <w:rPr>
                <w:sz w:val="21"/>
                <w:szCs w:val="21"/>
              </w:rPr>
            </w:pPr>
            <w:r w:rsidRPr="00D520B8">
              <w:rPr>
                <w:sz w:val="21"/>
                <w:szCs w:val="21"/>
              </w:rPr>
              <w:t>28</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Maternal and Infant Health</w:t>
            </w:r>
          </w:p>
        </w:tc>
        <w:tc>
          <w:tcPr>
            <w:tcW w:w="1260" w:type="dxa"/>
          </w:tcPr>
          <w:p w:rsidR="001670EC" w:rsidRPr="00D520B8" w:rsidRDefault="001670EC" w:rsidP="00680D98">
            <w:pPr>
              <w:spacing w:after="0" w:line="240" w:lineRule="auto"/>
              <w:jc w:val="center"/>
              <w:rPr>
                <w:sz w:val="21"/>
                <w:szCs w:val="21"/>
              </w:rPr>
            </w:pPr>
            <w:r w:rsidRPr="00D520B8">
              <w:rPr>
                <w:sz w:val="21"/>
                <w:szCs w:val="21"/>
              </w:rPr>
              <w:t>9</w:t>
            </w:r>
          </w:p>
        </w:tc>
        <w:tc>
          <w:tcPr>
            <w:tcW w:w="1260" w:type="dxa"/>
          </w:tcPr>
          <w:p w:rsidR="001670EC" w:rsidRPr="00D520B8" w:rsidRDefault="001670EC" w:rsidP="00680D98">
            <w:pPr>
              <w:spacing w:after="0" w:line="240" w:lineRule="auto"/>
              <w:jc w:val="center"/>
              <w:rPr>
                <w:sz w:val="21"/>
                <w:szCs w:val="21"/>
              </w:rPr>
            </w:pPr>
            <w:r w:rsidRPr="00D520B8">
              <w:rPr>
                <w:sz w:val="21"/>
                <w:szCs w:val="21"/>
              </w:rPr>
              <w:t>19</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Preconception and Reproductive Health</w:t>
            </w:r>
          </w:p>
        </w:tc>
        <w:tc>
          <w:tcPr>
            <w:tcW w:w="1260" w:type="dxa"/>
          </w:tcPr>
          <w:p w:rsidR="001670EC" w:rsidRPr="00D520B8" w:rsidRDefault="001670EC" w:rsidP="00680D98">
            <w:pPr>
              <w:spacing w:after="0" w:line="240" w:lineRule="auto"/>
              <w:jc w:val="center"/>
              <w:rPr>
                <w:sz w:val="21"/>
                <w:szCs w:val="21"/>
              </w:rPr>
            </w:pPr>
            <w:r w:rsidRPr="00D520B8">
              <w:rPr>
                <w:sz w:val="21"/>
                <w:szCs w:val="21"/>
              </w:rPr>
              <w:t>9</w:t>
            </w:r>
          </w:p>
        </w:tc>
        <w:tc>
          <w:tcPr>
            <w:tcW w:w="1260" w:type="dxa"/>
          </w:tcPr>
          <w:p w:rsidR="001670EC" w:rsidRPr="00D520B8" w:rsidRDefault="001670EC" w:rsidP="00680D98">
            <w:pPr>
              <w:spacing w:after="0" w:line="240" w:lineRule="auto"/>
              <w:jc w:val="center"/>
              <w:rPr>
                <w:sz w:val="21"/>
                <w:szCs w:val="21"/>
              </w:rPr>
            </w:pPr>
            <w:r w:rsidRPr="00D520B8">
              <w:rPr>
                <w:sz w:val="21"/>
                <w:szCs w:val="21"/>
              </w:rPr>
              <w:t>20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Child Health</w:t>
            </w:r>
          </w:p>
        </w:tc>
        <w:tc>
          <w:tcPr>
            <w:tcW w:w="1260" w:type="dxa"/>
          </w:tcPr>
          <w:p w:rsidR="001670EC" w:rsidRPr="00D520B8" w:rsidRDefault="001670EC" w:rsidP="00680D98">
            <w:pPr>
              <w:spacing w:after="0" w:line="240" w:lineRule="auto"/>
              <w:jc w:val="center"/>
              <w:rPr>
                <w:sz w:val="21"/>
                <w:szCs w:val="21"/>
              </w:rPr>
            </w:pPr>
            <w:r w:rsidRPr="00D520B8">
              <w:rPr>
                <w:sz w:val="21"/>
                <w:szCs w:val="21"/>
              </w:rPr>
              <w:t>6</w:t>
            </w:r>
          </w:p>
        </w:tc>
        <w:tc>
          <w:tcPr>
            <w:tcW w:w="1260" w:type="dxa"/>
          </w:tcPr>
          <w:p w:rsidR="001670EC" w:rsidRPr="00D520B8" w:rsidRDefault="001670EC" w:rsidP="00680D98">
            <w:pPr>
              <w:spacing w:after="0" w:line="240" w:lineRule="auto"/>
              <w:jc w:val="center"/>
              <w:rPr>
                <w:sz w:val="21"/>
                <w:szCs w:val="21"/>
              </w:rPr>
            </w:pPr>
            <w:r w:rsidRPr="00D520B8">
              <w:rPr>
                <w:sz w:val="21"/>
                <w:szCs w:val="21"/>
              </w:rPr>
              <w:t>29</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HIV</w:t>
            </w:r>
          </w:p>
        </w:tc>
        <w:tc>
          <w:tcPr>
            <w:tcW w:w="1260" w:type="dxa"/>
          </w:tcPr>
          <w:p w:rsidR="001670EC" w:rsidRPr="00D520B8" w:rsidRDefault="001670EC" w:rsidP="00680D98">
            <w:pPr>
              <w:spacing w:after="0" w:line="240" w:lineRule="auto"/>
              <w:jc w:val="center"/>
              <w:rPr>
                <w:sz w:val="21"/>
                <w:szCs w:val="21"/>
              </w:rPr>
            </w:pPr>
            <w:r w:rsidRPr="00D520B8">
              <w:rPr>
                <w:sz w:val="21"/>
                <w:szCs w:val="21"/>
              </w:rPr>
              <w:t>2</w:t>
            </w:r>
          </w:p>
        </w:tc>
        <w:tc>
          <w:tcPr>
            <w:tcW w:w="1260" w:type="dxa"/>
          </w:tcPr>
          <w:p w:rsidR="001670EC" w:rsidRPr="00D520B8" w:rsidRDefault="001670EC" w:rsidP="00680D98">
            <w:pPr>
              <w:spacing w:after="0" w:line="240" w:lineRule="auto"/>
              <w:jc w:val="center"/>
              <w:rPr>
                <w:sz w:val="21"/>
                <w:szCs w:val="21"/>
              </w:rPr>
            </w:pPr>
            <w:r w:rsidRPr="00D520B8">
              <w:rPr>
                <w:sz w:val="21"/>
                <w:szCs w:val="21"/>
              </w:rPr>
              <w:t>2</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STDs</w:t>
            </w:r>
          </w:p>
        </w:tc>
        <w:tc>
          <w:tcPr>
            <w:tcW w:w="1260" w:type="dxa"/>
          </w:tcPr>
          <w:p w:rsidR="001670EC" w:rsidRPr="00D520B8" w:rsidRDefault="001670EC" w:rsidP="00680D98">
            <w:pPr>
              <w:spacing w:after="0" w:line="240" w:lineRule="auto"/>
              <w:jc w:val="center"/>
              <w:rPr>
                <w:sz w:val="21"/>
                <w:szCs w:val="21"/>
              </w:rPr>
            </w:pPr>
            <w:r w:rsidRPr="00D520B8">
              <w:rPr>
                <w:sz w:val="21"/>
                <w:szCs w:val="21"/>
              </w:rPr>
              <w:t>5</w:t>
            </w:r>
          </w:p>
        </w:tc>
        <w:tc>
          <w:tcPr>
            <w:tcW w:w="1260" w:type="dxa"/>
          </w:tcPr>
          <w:p w:rsidR="001670EC" w:rsidRPr="00D520B8" w:rsidRDefault="001670EC" w:rsidP="00680D98">
            <w:pPr>
              <w:spacing w:after="0" w:line="240" w:lineRule="auto"/>
              <w:jc w:val="center"/>
              <w:rPr>
                <w:sz w:val="21"/>
                <w:szCs w:val="21"/>
              </w:rPr>
            </w:pPr>
            <w:r w:rsidRPr="00D520B8">
              <w:rPr>
                <w:sz w:val="21"/>
                <w:szCs w:val="21"/>
              </w:rPr>
              <w:t>10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Vaccine Preventable Diseases</w:t>
            </w:r>
          </w:p>
        </w:tc>
        <w:tc>
          <w:tcPr>
            <w:tcW w:w="1260" w:type="dxa"/>
          </w:tcPr>
          <w:p w:rsidR="001670EC" w:rsidRPr="00D520B8" w:rsidRDefault="001670EC" w:rsidP="00680D98">
            <w:pPr>
              <w:spacing w:after="0" w:line="240" w:lineRule="auto"/>
              <w:jc w:val="center"/>
              <w:rPr>
                <w:sz w:val="21"/>
                <w:szCs w:val="21"/>
              </w:rPr>
            </w:pPr>
            <w:r w:rsidRPr="00D520B8">
              <w:rPr>
                <w:sz w:val="21"/>
                <w:szCs w:val="21"/>
              </w:rPr>
              <w:t>3</w:t>
            </w:r>
          </w:p>
        </w:tc>
        <w:tc>
          <w:tcPr>
            <w:tcW w:w="1260" w:type="dxa"/>
          </w:tcPr>
          <w:p w:rsidR="001670EC" w:rsidRPr="00D520B8" w:rsidRDefault="001670EC" w:rsidP="00680D98">
            <w:pPr>
              <w:spacing w:after="0" w:line="240" w:lineRule="auto"/>
              <w:jc w:val="center"/>
              <w:rPr>
                <w:sz w:val="21"/>
                <w:szCs w:val="21"/>
              </w:rPr>
            </w:pPr>
            <w:r w:rsidRPr="00D520B8">
              <w:rPr>
                <w:sz w:val="21"/>
                <w:szCs w:val="21"/>
              </w:rPr>
              <w:t>6</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Healthcare Associated Infections</w:t>
            </w:r>
          </w:p>
        </w:tc>
        <w:tc>
          <w:tcPr>
            <w:tcW w:w="1260" w:type="dxa"/>
          </w:tcPr>
          <w:p w:rsidR="001670EC" w:rsidRPr="00D520B8" w:rsidRDefault="001670EC" w:rsidP="00680D98">
            <w:pPr>
              <w:spacing w:after="0" w:line="240" w:lineRule="auto"/>
              <w:jc w:val="center"/>
              <w:rPr>
                <w:sz w:val="21"/>
                <w:szCs w:val="21"/>
              </w:rPr>
            </w:pPr>
            <w:r w:rsidRPr="00D520B8">
              <w:rPr>
                <w:sz w:val="21"/>
                <w:szCs w:val="21"/>
              </w:rPr>
              <w:t>2</w:t>
            </w:r>
          </w:p>
        </w:tc>
        <w:tc>
          <w:tcPr>
            <w:tcW w:w="1260" w:type="dxa"/>
          </w:tcPr>
          <w:p w:rsidR="001670EC" w:rsidRPr="00D520B8" w:rsidRDefault="001670EC" w:rsidP="00680D98">
            <w:pPr>
              <w:spacing w:after="0" w:line="240" w:lineRule="auto"/>
              <w:jc w:val="center"/>
              <w:rPr>
                <w:sz w:val="21"/>
                <w:szCs w:val="21"/>
              </w:rPr>
            </w:pPr>
            <w:r w:rsidRPr="00D520B8">
              <w:rPr>
                <w:sz w:val="21"/>
                <w:szCs w:val="21"/>
              </w:rPr>
              <w:t>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Substance Abuse and other Mental, Emotional, and Behavioral Disorders</w:t>
            </w:r>
          </w:p>
        </w:tc>
        <w:tc>
          <w:tcPr>
            <w:tcW w:w="1260" w:type="dxa"/>
          </w:tcPr>
          <w:p w:rsidR="001670EC" w:rsidRPr="00D520B8" w:rsidRDefault="001670EC" w:rsidP="00680D98">
            <w:pPr>
              <w:spacing w:after="0" w:line="240" w:lineRule="auto"/>
              <w:jc w:val="center"/>
              <w:rPr>
                <w:sz w:val="21"/>
                <w:szCs w:val="21"/>
              </w:rPr>
            </w:pPr>
            <w:r w:rsidRPr="00D520B8">
              <w:rPr>
                <w:sz w:val="21"/>
                <w:szCs w:val="21"/>
              </w:rPr>
              <w:t>3</w:t>
            </w:r>
          </w:p>
        </w:tc>
        <w:tc>
          <w:tcPr>
            <w:tcW w:w="1260" w:type="dxa"/>
          </w:tcPr>
          <w:p w:rsidR="001670EC" w:rsidRPr="00D520B8" w:rsidRDefault="001670EC" w:rsidP="00680D98">
            <w:pPr>
              <w:spacing w:after="0" w:line="240" w:lineRule="auto"/>
              <w:jc w:val="center"/>
              <w:rPr>
                <w:sz w:val="21"/>
                <w:szCs w:val="21"/>
              </w:rPr>
            </w:pPr>
            <w:r w:rsidRPr="00D520B8">
              <w:rPr>
                <w:sz w:val="21"/>
                <w:szCs w:val="21"/>
              </w:rPr>
              <w:t>20</w:t>
            </w:r>
          </w:p>
        </w:tc>
      </w:tr>
      <w:tr w:rsidR="001670EC" w:rsidRPr="00D520B8" w:rsidTr="00680D98">
        <w:trPr>
          <w:jc w:val="center"/>
        </w:trPr>
        <w:tc>
          <w:tcPr>
            <w:tcW w:w="5274" w:type="dxa"/>
          </w:tcPr>
          <w:p w:rsidR="001670EC" w:rsidRPr="00D520B8" w:rsidRDefault="001670EC" w:rsidP="00680D98">
            <w:pPr>
              <w:spacing w:after="0" w:line="240" w:lineRule="auto"/>
              <w:rPr>
                <w:sz w:val="21"/>
                <w:szCs w:val="21"/>
              </w:rPr>
            </w:pPr>
            <w:r w:rsidRPr="00D520B8">
              <w:rPr>
                <w:sz w:val="21"/>
                <w:szCs w:val="21"/>
              </w:rPr>
              <w:t>Other Illnesses</w:t>
            </w:r>
          </w:p>
        </w:tc>
        <w:tc>
          <w:tcPr>
            <w:tcW w:w="1260" w:type="dxa"/>
          </w:tcPr>
          <w:p w:rsidR="001670EC" w:rsidRPr="00D520B8" w:rsidRDefault="001670EC" w:rsidP="00680D98">
            <w:pPr>
              <w:spacing w:after="0" w:line="240" w:lineRule="auto"/>
              <w:jc w:val="center"/>
              <w:rPr>
                <w:sz w:val="21"/>
                <w:szCs w:val="21"/>
              </w:rPr>
            </w:pPr>
            <w:r w:rsidRPr="00D520B8">
              <w:rPr>
                <w:sz w:val="21"/>
                <w:szCs w:val="21"/>
              </w:rPr>
              <w:t>0</w:t>
            </w:r>
          </w:p>
        </w:tc>
        <w:tc>
          <w:tcPr>
            <w:tcW w:w="1260" w:type="dxa"/>
          </w:tcPr>
          <w:p w:rsidR="001670EC" w:rsidRPr="00D520B8" w:rsidRDefault="001670EC" w:rsidP="00680D98">
            <w:pPr>
              <w:spacing w:after="0" w:line="240" w:lineRule="auto"/>
              <w:jc w:val="center"/>
              <w:rPr>
                <w:sz w:val="21"/>
                <w:szCs w:val="21"/>
              </w:rPr>
            </w:pPr>
            <w:r w:rsidRPr="00D520B8">
              <w:rPr>
                <w:sz w:val="21"/>
                <w:szCs w:val="21"/>
              </w:rPr>
              <w:t>9</w:t>
            </w:r>
          </w:p>
        </w:tc>
      </w:tr>
    </w:tbl>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Those data elements that were Prevention Agenda indicators were compared against their respective Prevention Agenda benchmarks. “Other indicators” were compared against either Upstate New York benchmarks, when available or then New York State benchmarks when Upstate New York benchmarks were not available. The report also included a status field that indicated whether indicators were met, were better, or were worse than their corresponding benchmarks. When indicators were worse than their corresponding benchmarks, their distances from their respective benchmarks were calculated. On the report, distances from benchmarks were indicated using quartiles rankings, i.e., if distances from their corresponding benchmarks were less than 25%, indicators were in quartile 1, if distances were between 25% and 49.9% from their respective benchmarks, indicators were in quartile 2, etc.</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The Health Behaviors, Health Outcomes, and Health Status Report also indicated the percentage of total indicators that were worse than their respective benchmarks by focus area. For example, if 21 of the 35 child health focus area indicators were worse than their respective benchmarks, the quartile summary score would be 60% (21/35). Additionally, the report identified a severity score, i.e., the percentage of those indicators that were either in quartile 3 or 4 compared to all indicators which were worse than their corresponding benchmarks. Using the above example, if 9 of the 21 child health focus indicators that were worse than their respective benchmarks were in quartiles 3 or 4, the severity score would be 43% (/9/21). Quartile summary scores and severity scores were calculated for each focus area as well as for Prevention Agenda indicators and for “other indicators” within each focus area. Both quartile summary scores and severity scores were used to understand if the specific focus areas were challenges to the counties and hospitals. In certain cases, focus areas would have low severity scores but high quartile summary scores indicating that while not especially severe, the focus area offered significant challenges to the community.</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u w:val="single"/>
        </w:rPr>
      </w:pPr>
      <w:r w:rsidRPr="00D520B8">
        <w:rPr>
          <w:sz w:val="21"/>
          <w:szCs w:val="21"/>
          <w:u w:val="single"/>
        </w:rPr>
        <w:t>Health Delivery System Profile</w:t>
      </w:r>
    </w:p>
    <w:p w:rsidR="001670EC" w:rsidRPr="00D520B8" w:rsidRDefault="001670EC" w:rsidP="00814C68">
      <w:pPr>
        <w:spacing w:after="0" w:line="360" w:lineRule="auto"/>
        <w:rPr>
          <w:sz w:val="21"/>
          <w:szCs w:val="21"/>
        </w:rPr>
      </w:pPr>
      <w:r w:rsidRPr="00D520B8">
        <w:rPr>
          <w:sz w:val="21"/>
          <w:szCs w:val="21"/>
        </w:rPr>
        <w:t>The data on the health system came from NYSDOH  list of facilities, NYSED licensure file for 2011, the UDS Mapper for 2011 Community Health Center Patients, the Health Resources and Services Administration Data Warehouse for health professional shortage (HPSAs) areas for 2012, and Center data on 2011 physicians. Among the data incorporated into this report included:</w:t>
      </w:r>
    </w:p>
    <w:p w:rsidR="001670EC" w:rsidRPr="00D520B8" w:rsidRDefault="001670EC" w:rsidP="00521C49">
      <w:pPr>
        <w:pStyle w:val="ListParagraph"/>
        <w:numPr>
          <w:ilvl w:val="0"/>
          <w:numId w:val="10"/>
        </w:numPr>
        <w:spacing w:after="0" w:line="360" w:lineRule="auto"/>
        <w:rPr>
          <w:sz w:val="21"/>
          <w:szCs w:val="21"/>
        </w:rPr>
      </w:pPr>
      <w:r w:rsidRPr="00D520B8">
        <w:rPr>
          <w:sz w:val="21"/>
          <w:szCs w:val="21"/>
        </w:rPr>
        <w:t>Hospital, nursing home, and adult care facility beds;</w:t>
      </w:r>
    </w:p>
    <w:p w:rsidR="001670EC" w:rsidRPr="00D520B8" w:rsidRDefault="001670EC" w:rsidP="00521C49">
      <w:pPr>
        <w:pStyle w:val="ListParagraph"/>
        <w:numPr>
          <w:ilvl w:val="0"/>
          <w:numId w:val="10"/>
        </w:numPr>
        <w:spacing w:after="0" w:line="360" w:lineRule="auto"/>
        <w:rPr>
          <w:sz w:val="21"/>
          <w:szCs w:val="21"/>
        </w:rPr>
      </w:pPr>
      <w:r w:rsidRPr="00D520B8">
        <w:rPr>
          <w:sz w:val="21"/>
          <w:szCs w:val="21"/>
        </w:rPr>
        <w:t>Number of community health center patients;</w:t>
      </w:r>
    </w:p>
    <w:p w:rsidR="001670EC" w:rsidRPr="00D520B8" w:rsidRDefault="001670EC" w:rsidP="00521C49">
      <w:pPr>
        <w:pStyle w:val="ListParagraph"/>
        <w:numPr>
          <w:ilvl w:val="0"/>
          <w:numId w:val="10"/>
        </w:numPr>
        <w:spacing w:after="0" w:line="360" w:lineRule="auto"/>
        <w:rPr>
          <w:sz w:val="21"/>
          <w:szCs w:val="21"/>
        </w:rPr>
      </w:pPr>
      <w:r w:rsidRPr="00D520B8">
        <w:rPr>
          <w:sz w:val="21"/>
          <w:szCs w:val="21"/>
        </w:rPr>
        <w:t>Number of and population within primary care, mental health, or dental care HPSAs;</w:t>
      </w:r>
    </w:p>
    <w:p w:rsidR="001670EC" w:rsidRPr="00D520B8" w:rsidRDefault="001670EC" w:rsidP="00521C49">
      <w:pPr>
        <w:pStyle w:val="ListParagraph"/>
        <w:numPr>
          <w:ilvl w:val="0"/>
          <w:numId w:val="10"/>
        </w:numPr>
        <w:spacing w:after="0" w:line="360" w:lineRule="auto"/>
        <w:rPr>
          <w:sz w:val="21"/>
          <w:szCs w:val="21"/>
        </w:rPr>
      </w:pPr>
      <w:r w:rsidRPr="00D520B8">
        <w:rPr>
          <w:sz w:val="21"/>
          <w:szCs w:val="21"/>
        </w:rPr>
        <w:t xml:space="preserve">Total physicians and physicians by certain specialties and sub-specialties; and </w:t>
      </w:r>
    </w:p>
    <w:p w:rsidR="001670EC" w:rsidRPr="00D520B8" w:rsidRDefault="001670EC" w:rsidP="00521C49">
      <w:pPr>
        <w:pStyle w:val="ListParagraph"/>
        <w:numPr>
          <w:ilvl w:val="0"/>
          <w:numId w:val="10"/>
        </w:numPr>
        <w:spacing w:after="0" w:line="360" w:lineRule="auto"/>
        <w:rPr>
          <w:sz w:val="21"/>
          <w:szCs w:val="21"/>
        </w:rPr>
      </w:pPr>
      <w:r w:rsidRPr="00D520B8">
        <w:rPr>
          <w:sz w:val="21"/>
          <w:szCs w:val="21"/>
        </w:rPr>
        <w:t>Count of individuals licensed.</w:t>
      </w:r>
      <w:r w:rsidRPr="00D520B8">
        <w:rPr>
          <w:rStyle w:val="FootnoteReference"/>
          <w:sz w:val="21"/>
          <w:szCs w:val="21"/>
        </w:rPr>
        <w:footnoteReference w:id="7"/>
      </w:r>
    </w:p>
    <w:p w:rsidR="001670EC" w:rsidRPr="00D520B8" w:rsidRDefault="001670EC" w:rsidP="00814C68">
      <w:pPr>
        <w:spacing w:after="0" w:line="360" w:lineRule="auto"/>
        <w:rPr>
          <w:sz w:val="21"/>
          <w:szCs w:val="21"/>
          <w:u w:val="single"/>
        </w:rPr>
      </w:pPr>
    </w:p>
    <w:p w:rsidR="001670EC" w:rsidRPr="00D520B8" w:rsidRDefault="001670EC" w:rsidP="00814C68">
      <w:pPr>
        <w:spacing w:after="0" w:line="360" w:lineRule="auto"/>
        <w:rPr>
          <w:sz w:val="21"/>
          <w:szCs w:val="21"/>
          <w:u w:val="single"/>
        </w:rPr>
      </w:pPr>
      <w:r w:rsidRPr="00D520B8">
        <w:rPr>
          <w:sz w:val="21"/>
          <w:szCs w:val="21"/>
          <w:u w:val="single"/>
        </w:rPr>
        <w:t>Community Provider Survey</w:t>
      </w:r>
    </w:p>
    <w:p w:rsidR="001670EC" w:rsidRPr="00D520B8" w:rsidRDefault="001670EC" w:rsidP="00814C68">
      <w:pPr>
        <w:spacing w:after="0" w:line="360" w:lineRule="auto"/>
        <w:rPr>
          <w:sz w:val="21"/>
          <w:szCs w:val="21"/>
        </w:rPr>
      </w:pPr>
      <w:r w:rsidRPr="00D520B8">
        <w:rPr>
          <w:sz w:val="21"/>
          <w:szCs w:val="21"/>
        </w:rPr>
        <w:t>A survey of providers was conducted by the Center for Human Services Research (CHSR) at the University at Albany School of Social Welfare between December 5, 2012 and January 21, 2013. The purpose of the study was to provide feedback from community service providers in order to: 1) guide strategic planning, 2) highlight topics for increased public awareness, 3) identify areas for training, and 4) inform the statewide prevention agenda, including rating the relative importance of five of the New York State Prevention Agenda Priority areas</w:t>
      </w:r>
      <w:r w:rsidRPr="00D520B8">
        <w:rPr>
          <w:rStyle w:val="FootnoteReference"/>
          <w:sz w:val="21"/>
          <w:szCs w:val="21"/>
        </w:rPr>
        <w:footnoteReference w:id="8"/>
      </w:r>
      <w:r w:rsidRPr="00D520B8">
        <w:rPr>
          <w:sz w:val="21"/>
          <w:szCs w:val="21"/>
        </w:rPr>
        <w:t>. Results were presented for each of the eight ARHN counties</w:t>
      </w:r>
      <w:r w:rsidRPr="00D520B8">
        <w:rPr>
          <w:rStyle w:val="FootnoteReference"/>
          <w:sz w:val="21"/>
          <w:szCs w:val="21"/>
        </w:rPr>
        <w:footnoteReference w:id="9"/>
      </w:r>
      <w:r w:rsidRPr="00D520B8">
        <w:rPr>
          <w:sz w:val="21"/>
          <w:szCs w:val="21"/>
        </w:rPr>
        <w:t xml:space="preserve"> and aggregated for the region.</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 xml:space="preserve">The 81 question survey was developed through a collaborative effort by a seven-member ARHN Subcommittee during the fall of 2012. The seven volunteer members are representatives of county public health departments and hospitals in the region that are involved in the ARHN. Subcommittee members were responsible for identifying the broad research questions to be addressed by the survey, as well as for drafting the individual survey questions. </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Subcommittee members were also charged with identifying potential respondents to participate in the survey. Because each county in the region is unique in its health care and service-provision structure, ARHN members from each of the counties were asked to generate a list of relevant stakeholders from their own communities who would represent the full range of programs and service providers. As such, the survey population does not necessarily represent a random sampling of health care and service providers, but an attempt at a complete list of the agencies deemed by the ARHN to be the most important and representative within the region.</w:t>
      </w:r>
    </w:p>
    <w:p w:rsidR="001670EC" w:rsidRPr="00D520B8" w:rsidRDefault="001670EC" w:rsidP="00814C68">
      <w:pPr>
        <w:spacing w:after="0" w:line="360" w:lineRule="auto"/>
        <w:rPr>
          <w:sz w:val="21"/>
          <w:szCs w:val="21"/>
        </w:rPr>
      </w:pPr>
    </w:p>
    <w:p w:rsidR="001670EC" w:rsidRPr="00D520B8" w:rsidRDefault="001670EC" w:rsidP="00814C68">
      <w:pPr>
        <w:spacing w:after="0" w:line="360" w:lineRule="auto"/>
        <w:rPr>
          <w:sz w:val="21"/>
          <w:szCs w:val="21"/>
        </w:rPr>
      </w:pPr>
      <w:r w:rsidRPr="00D520B8">
        <w:rPr>
          <w:sz w:val="21"/>
          <w:szCs w:val="21"/>
        </w:rPr>
        <w:t>The survey was administered electronically using the web-based Survey Monkey program and distributed to an email contact list of 624 individuals identified in the stakeholder list created by the Subcommittee. Two weeks before the survey was launched on December 5, 2012, an announcement was sent to all participants to encourage participation. After the initial survey email, two reminder notices were also sent to those who had not yet completed the survey. Additionally, participation was also incentivized through an opt-in gift card drawing, with 20 entrants randomly selected to receive a $25 Stewart’s gift card at the conclusion of the survey. Ultimately, 285 surveys were completed during the six-week survey period, a response rate of 45.7%. Response rates varied by individual county, respondents may have been counted in more than one county depending on the extent of their service area.</w:t>
      </w:r>
    </w:p>
    <w:p w:rsidR="001670EC" w:rsidRPr="00D520B8" w:rsidRDefault="001670EC" w:rsidP="00814C68">
      <w:pPr>
        <w:spacing w:after="0" w:line="360" w:lineRule="auto"/>
      </w:pPr>
    </w:p>
    <w:p w:rsidR="001670EC" w:rsidRPr="005B5390" w:rsidRDefault="001670EC" w:rsidP="00814C68">
      <w:pPr>
        <w:spacing w:after="0" w:line="360" w:lineRule="auto"/>
      </w:pPr>
    </w:p>
    <w:p w:rsidR="001670EC" w:rsidRDefault="001670EC" w:rsidP="008E5823">
      <w:pPr>
        <w:pStyle w:val="Heading1"/>
        <w:jc w:val="center"/>
      </w:pPr>
      <w:bookmarkStart w:id="43" w:name="_Toc355250988"/>
    </w:p>
    <w:p w:rsidR="001670EC" w:rsidRDefault="001670EC" w:rsidP="008E5823">
      <w:pPr>
        <w:pStyle w:val="Heading1"/>
        <w:jc w:val="center"/>
      </w:pPr>
    </w:p>
    <w:p w:rsidR="001670EC" w:rsidRDefault="001670EC" w:rsidP="008B129A">
      <w:pPr>
        <w:pStyle w:val="Heading1"/>
      </w:pPr>
    </w:p>
    <w:p w:rsidR="001670EC" w:rsidRPr="00054522" w:rsidRDefault="001670EC" w:rsidP="008B129A">
      <w:pPr>
        <w:pStyle w:val="Heading1"/>
      </w:pPr>
      <w:r>
        <w:t>Appendix 2:  ARHN</w:t>
      </w:r>
      <w:r w:rsidRPr="00054522">
        <w:t xml:space="preserve"> Survey</w:t>
      </w:r>
      <w:r>
        <w:t xml:space="preserve"> </w:t>
      </w:r>
      <w:r w:rsidRPr="00054522">
        <w:t>Regional Results Summary</w:t>
      </w:r>
      <w:bookmarkEnd w:id="43"/>
    </w:p>
    <w:p w:rsidR="001670EC" w:rsidRDefault="001670EC" w:rsidP="007466E7">
      <w:pPr>
        <w:jc w:val="center"/>
        <w:rPr>
          <w:b/>
          <w:sz w:val="36"/>
          <w:szCs w:val="36"/>
        </w:rPr>
        <w:sectPr w:rsidR="001670EC" w:rsidSect="00D520B8">
          <w:headerReference w:type="default" r:id="rId41"/>
          <w:pgSz w:w="12240" w:h="15840"/>
          <w:pgMar w:top="1440" w:right="1440" w:bottom="1440" w:left="1440" w:header="0" w:footer="720" w:gutter="0"/>
          <w:pgNumType w:fmt="upperRoman" w:start="1"/>
          <w:cols w:space="720"/>
          <w:docGrid w:linePitch="360"/>
        </w:sectPr>
      </w:pPr>
    </w:p>
    <w:p w:rsidR="001670EC" w:rsidRDefault="001670EC" w:rsidP="007466E7">
      <w:pPr>
        <w:jc w:val="center"/>
        <w:rPr>
          <w:b/>
          <w:sz w:val="36"/>
          <w:szCs w:val="36"/>
        </w:rPr>
      </w:pPr>
    </w:p>
    <w:p w:rsidR="001670EC" w:rsidRDefault="001670EC">
      <w:pPr>
        <w:rPr>
          <w:b/>
          <w:sz w:val="36"/>
          <w:szCs w:val="36"/>
        </w:rPr>
      </w:pPr>
    </w:p>
    <w:p w:rsidR="001670EC" w:rsidRDefault="001670EC" w:rsidP="00477618">
      <w:pPr>
        <w:jc w:val="center"/>
        <w:rPr>
          <w:sz w:val="28"/>
        </w:rPr>
      </w:pPr>
      <w:r>
        <w:rPr>
          <w:sz w:val="28"/>
        </w:rPr>
        <w:t>Results of the Adirondack Regional Health Network Survey</w:t>
      </w:r>
    </w:p>
    <w:p w:rsidR="001670EC" w:rsidRDefault="001670EC" w:rsidP="00477618">
      <w:pPr>
        <w:jc w:val="center"/>
        <w:rPr>
          <w:sz w:val="28"/>
        </w:rPr>
      </w:pPr>
      <w:r>
        <w:rPr>
          <w:sz w:val="28"/>
        </w:rPr>
        <w:t>Regional Results Summary</w:t>
      </w:r>
    </w:p>
    <w:p w:rsidR="001670EC" w:rsidRDefault="001670EC" w:rsidP="00477618">
      <w:pPr>
        <w:jc w:val="center"/>
        <w:rPr>
          <w:sz w:val="28"/>
        </w:rPr>
      </w:pPr>
    </w:p>
    <w:p w:rsidR="001670EC" w:rsidRDefault="001670EC" w:rsidP="00477618">
      <w:pPr>
        <w:jc w:val="center"/>
        <w:rPr>
          <w:sz w:val="28"/>
        </w:rPr>
      </w:pPr>
    </w:p>
    <w:p w:rsidR="001670EC" w:rsidRDefault="001670EC" w:rsidP="00477618">
      <w:pPr>
        <w:rPr>
          <w:sz w:val="28"/>
        </w:rPr>
      </w:pPr>
    </w:p>
    <w:p w:rsidR="001670EC" w:rsidRDefault="001670EC" w:rsidP="00477618">
      <w:pPr>
        <w:jc w:val="center"/>
        <w:rPr>
          <w:sz w:val="28"/>
        </w:rPr>
      </w:pPr>
      <w:r>
        <w:rPr>
          <w:sz w:val="28"/>
        </w:rPr>
        <w:t>March 28, 2013</w:t>
      </w: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jc w:val="center"/>
        <w:rPr>
          <w:sz w:val="28"/>
        </w:rPr>
      </w:pPr>
    </w:p>
    <w:p w:rsidR="001670EC" w:rsidRDefault="001670EC" w:rsidP="00477618">
      <w:pPr>
        <w:spacing w:after="0" w:line="240" w:lineRule="auto"/>
        <w:jc w:val="center"/>
        <w:rPr>
          <w:sz w:val="28"/>
        </w:rPr>
      </w:pPr>
      <w:r>
        <w:rPr>
          <w:sz w:val="28"/>
        </w:rPr>
        <w:t>Report to the Adirondack Rural Health Network</w:t>
      </w:r>
    </w:p>
    <w:p w:rsidR="001670EC" w:rsidRDefault="001670EC" w:rsidP="00477618">
      <w:pPr>
        <w:spacing w:after="0" w:line="240" w:lineRule="auto"/>
        <w:jc w:val="center"/>
        <w:rPr>
          <w:sz w:val="28"/>
        </w:rPr>
      </w:pPr>
    </w:p>
    <w:p w:rsidR="001670EC" w:rsidRDefault="001670EC" w:rsidP="00477618">
      <w:pPr>
        <w:spacing w:after="0" w:line="240" w:lineRule="auto"/>
        <w:jc w:val="center"/>
        <w:rPr>
          <w:sz w:val="28"/>
        </w:rPr>
      </w:pPr>
      <w:r>
        <w:rPr>
          <w:sz w:val="28"/>
        </w:rPr>
        <w:t>Brad R. Watts</w:t>
      </w:r>
    </w:p>
    <w:p w:rsidR="001670EC" w:rsidRDefault="001670EC" w:rsidP="00477618">
      <w:pPr>
        <w:spacing w:after="0" w:line="240" w:lineRule="auto"/>
        <w:jc w:val="center"/>
        <w:rPr>
          <w:sz w:val="28"/>
        </w:rPr>
      </w:pPr>
      <w:r>
        <w:rPr>
          <w:sz w:val="28"/>
        </w:rPr>
        <w:t>Center for Human Services Research</w:t>
      </w:r>
    </w:p>
    <w:p w:rsidR="001670EC" w:rsidRDefault="001670EC" w:rsidP="00477618">
      <w:pPr>
        <w:spacing w:after="0" w:line="240" w:lineRule="auto"/>
        <w:jc w:val="center"/>
        <w:rPr>
          <w:sz w:val="28"/>
        </w:rPr>
      </w:pPr>
      <w:r>
        <w:rPr>
          <w:sz w:val="28"/>
        </w:rPr>
        <w:t>University at Albany</w:t>
      </w:r>
    </w:p>
    <w:p w:rsidR="001670EC" w:rsidRPr="000E11E4" w:rsidRDefault="001670EC" w:rsidP="00477618">
      <w:pPr>
        <w:spacing w:after="0" w:line="240" w:lineRule="auto"/>
        <w:jc w:val="center"/>
        <w:rPr>
          <w:sz w:val="28"/>
        </w:rPr>
        <w:sectPr w:rsidR="001670EC" w:rsidRPr="000E11E4" w:rsidSect="00477618">
          <w:footerReference w:type="default" r:id="rId42"/>
          <w:pgSz w:w="12240" w:h="15840"/>
          <w:pgMar w:top="1440" w:right="1440" w:bottom="1440" w:left="1440" w:header="720" w:footer="720" w:gutter="0"/>
          <w:pgNumType w:fmt="lowerRoman" w:start="1"/>
          <w:cols w:space="720"/>
          <w:docGrid w:linePitch="360"/>
        </w:sectPr>
      </w:pPr>
    </w:p>
    <w:p w:rsidR="001670EC" w:rsidRDefault="001670EC" w:rsidP="00477618"/>
    <w:p w:rsidR="001670EC" w:rsidRDefault="001670EC" w:rsidP="00477618">
      <w:pPr>
        <w:pStyle w:val="TOCHeading"/>
      </w:pPr>
      <w:r>
        <w:t>Table of Contents</w:t>
      </w:r>
    </w:p>
    <w:p w:rsidR="001670EC" w:rsidRDefault="003D1A5F">
      <w:pPr>
        <w:pStyle w:val="TOC4"/>
        <w:tabs>
          <w:tab w:val="right" w:leader="dot" w:pos="9350"/>
        </w:tabs>
        <w:rPr>
          <w:noProof/>
        </w:rPr>
      </w:pPr>
      <w:r>
        <w:fldChar w:fldCharType="begin"/>
      </w:r>
      <w:r w:rsidR="001670EC">
        <w:instrText xml:space="preserve"> TOC \o "4-6" \h \z \u B</w:instrText>
      </w:r>
      <w:r>
        <w:fldChar w:fldCharType="separate"/>
      </w:r>
      <w:hyperlink w:anchor="_Toc352677311" w:history="1">
        <w:r w:rsidR="001670EC" w:rsidRPr="00F2113A">
          <w:rPr>
            <w:rStyle w:val="Hyperlink"/>
            <w:noProof/>
          </w:rPr>
          <w:t>Executive Summary</w:t>
        </w:r>
        <w:r w:rsidR="001670EC">
          <w:rPr>
            <w:noProof/>
            <w:webHidden/>
          </w:rPr>
          <w:tab/>
        </w:r>
        <w:r>
          <w:rPr>
            <w:noProof/>
            <w:webHidden/>
          </w:rPr>
          <w:fldChar w:fldCharType="begin"/>
        </w:r>
        <w:r w:rsidR="001670EC">
          <w:rPr>
            <w:noProof/>
            <w:webHidden/>
          </w:rPr>
          <w:instrText xml:space="preserve"> PAGEREF _Toc352677311 \h </w:instrText>
        </w:r>
        <w:r>
          <w:rPr>
            <w:noProof/>
            <w:webHidden/>
          </w:rPr>
        </w:r>
        <w:r>
          <w:rPr>
            <w:noProof/>
            <w:webHidden/>
          </w:rPr>
          <w:fldChar w:fldCharType="separate"/>
        </w:r>
        <w:r w:rsidR="001670EC">
          <w:rPr>
            <w:noProof/>
            <w:webHidden/>
          </w:rPr>
          <w:t>2</w:t>
        </w:r>
        <w:r>
          <w:rPr>
            <w:noProof/>
            <w:webHidden/>
          </w:rPr>
          <w:fldChar w:fldCharType="end"/>
        </w:r>
      </w:hyperlink>
    </w:p>
    <w:p w:rsidR="001670EC" w:rsidRDefault="003D1A5F">
      <w:pPr>
        <w:pStyle w:val="TOC4"/>
        <w:tabs>
          <w:tab w:val="right" w:leader="dot" w:pos="9350"/>
        </w:tabs>
        <w:rPr>
          <w:noProof/>
        </w:rPr>
      </w:pPr>
      <w:hyperlink w:anchor="_Toc352677312" w:history="1">
        <w:r w:rsidR="001670EC" w:rsidRPr="00F2113A">
          <w:rPr>
            <w:rStyle w:val="Hyperlink"/>
            <w:noProof/>
          </w:rPr>
          <w:t>Overview</w:t>
        </w:r>
        <w:r w:rsidR="001670EC">
          <w:rPr>
            <w:noProof/>
            <w:webHidden/>
          </w:rPr>
          <w:tab/>
        </w:r>
        <w:r>
          <w:rPr>
            <w:noProof/>
            <w:webHidden/>
          </w:rPr>
          <w:fldChar w:fldCharType="begin"/>
        </w:r>
        <w:r w:rsidR="001670EC">
          <w:rPr>
            <w:noProof/>
            <w:webHidden/>
          </w:rPr>
          <w:instrText xml:space="preserve"> PAGEREF _Toc352677312 \h </w:instrText>
        </w:r>
        <w:r>
          <w:rPr>
            <w:noProof/>
            <w:webHidden/>
          </w:rPr>
        </w:r>
        <w:r>
          <w:rPr>
            <w:noProof/>
            <w:webHidden/>
          </w:rPr>
          <w:fldChar w:fldCharType="separate"/>
        </w:r>
        <w:r w:rsidR="001670EC">
          <w:rPr>
            <w:noProof/>
            <w:webHidden/>
          </w:rPr>
          <w:t>3</w:t>
        </w:r>
        <w:r>
          <w:rPr>
            <w:noProof/>
            <w:webHidden/>
          </w:rPr>
          <w:fldChar w:fldCharType="end"/>
        </w:r>
      </w:hyperlink>
    </w:p>
    <w:p w:rsidR="001670EC" w:rsidRDefault="003D1A5F">
      <w:pPr>
        <w:pStyle w:val="TOC4"/>
        <w:tabs>
          <w:tab w:val="right" w:leader="dot" w:pos="9350"/>
        </w:tabs>
        <w:rPr>
          <w:noProof/>
        </w:rPr>
      </w:pPr>
      <w:hyperlink w:anchor="_Toc352677313" w:history="1">
        <w:r w:rsidR="001670EC" w:rsidRPr="00F2113A">
          <w:rPr>
            <w:rStyle w:val="Hyperlink"/>
            <w:noProof/>
          </w:rPr>
          <w:t>Methodology</w:t>
        </w:r>
        <w:r w:rsidR="001670EC">
          <w:rPr>
            <w:noProof/>
            <w:webHidden/>
          </w:rPr>
          <w:tab/>
        </w:r>
        <w:r>
          <w:rPr>
            <w:noProof/>
            <w:webHidden/>
          </w:rPr>
          <w:fldChar w:fldCharType="begin"/>
        </w:r>
        <w:r w:rsidR="001670EC">
          <w:rPr>
            <w:noProof/>
            <w:webHidden/>
          </w:rPr>
          <w:instrText xml:space="preserve"> PAGEREF _Toc352677313 \h </w:instrText>
        </w:r>
        <w:r>
          <w:rPr>
            <w:noProof/>
            <w:webHidden/>
          </w:rPr>
        </w:r>
        <w:r>
          <w:rPr>
            <w:noProof/>
            <w:webHidden/>
          </w:rPr>
          <w:fldChar w:fldCharType="separate"/>
        </w:r>
        <w:r w:rsidR="001670EC">
          <w:rPr>
            <w:noProof/>
            <w:webHidden/>
          </w:rPr>
          <w:t>3</w:t>
        </w:r>
        <w:r>
          <w:rPr>
            <w:noProof/>
            <w:webHidden/>
          </w:rPr>
          <w:fldChar w:fldCharType="end"/>
        </w:r>
      </w:hyperlink>
    </w:p>
    <w:p w:rsidR="001670EC" w:rsidRDefault="003D1A5F">
      <w:pPr>
        <w:pStyle w:val="TOC4"/>
        <w:tabs>
          <w:tab w:val="right" w:leader="dot" w:pos="9350"/>
        </w:tabs>
        <w:rPr>
          <w:noProof/>
        </w:rPr>
      </w:pPr>
      <w:hyperlink w:anchor="_Toc352677314" w:history="1">
        <w:r w:rsidR="001670EC" w:rsidRPr="00F2113A">
          <w:rPr>
            <w:rStyle w:val="Hyperlink"/>
            <w:noProof/>
          </w:rPr>
          <w:t>Profile of Survey Respondents</w:t>
        </w:r>
        <w:r w:rsidR="001670EC">
          <w:rPr>
            <w:noProof/>
            <w:webHidden/>
          </w:rPr>
          <w:tab/>
        </w:r>
        <w:r>
          <w:rPr>
            <w:noProof/>
            <w:webHidden/>
          </w:rPr>
          <w:fldChar w:fldCharType="begin"/>
        </w:r>
        <w:r w:rsidR="001670EC">
          <w:rPr>
            <w:noProof/>
            <w:webHidden/>
          </w:rPr>
          <w:instrText xml:space="preserve"> PAGEREF _Toc352677314 \h </w:instrText>
        </w:r>
        <w:r>
          <w:rPr>
            <w:noProof/>
            <w:webHidden/>
          </w:rPr>
        </w:r>
        <w:r>
          <w:rPr>
            <w:noProof/>
            <w:webHidden/>
          </w:rPr>
          <w:fldChar w:fldCharType="separate"/>
        </w:r>
        <w:r w:rsidR="001670EC">
          <w:rPr>
            <w:noProof/>
            <w:webHidden/>
          </w:rPr>
          <w:t>4</w:t>
        </w:r>
        <w:r>
          <w:rPr>
            <w:noProof/>
            <w:webHidden/>
          </w:rPr>
          <w:fldChar w:fldCharType="end"/>
        </w:r>
      </w:hyperlink>
    </w:p>
    <w:p w:rsidR="001670EC" w:rsidRDefault="003D1A5F">
      <w:pPr>
        <w:pStyle w:val="TOC4"/>
        <w:tabs>
          <w:tab w:val="right" w:leader="dot" w:pos="9350"/>
        </w:tabs>
        <w:rPr>
          <w:noProof/>
        </w:rPr>
      </w:pPr>
      <w:hyperlink w:anchor="_Toc352677315" w:history="1">
        <w:r w:rsidR="001670EC" w:rsidRPr="00F2113A">
          <w:rPr>
            <w:rStyle w:val="Hyperlink"/>
            <w:noProof/>
          </w:rPr>
          <w:t>Results</w:t>
        </w:r>
        <w:r w:rsidR="001670EC">
          <w:rPr>
            <w:noProof/>
            <w:webHidden/>
          </w:rPr>
          <w:tab/>
        </w:r>
        <w:r>
          <w:rPr>
            <w:noProof/>
            <w:webHidden/>
          </w:rPr>
          <w:fldChar w:fldCharType="begin"/>
        </w:r>
        <w:r w:rsidR="001670EC">
          <w:rPr>
            <w:noProof/>
            <w:webHidden/>
          </w:rPr>
          <w:instrText xml:space="preserve"> PAGEREF _Toc352677315 \h </w:instrText>
        </w:r>
        <w:r>
          <w:rPr>
            <w:noProof/>
            <w:webHidden/>
          </w:rPr>
        </w:r>
        <w:r>
          <w:rPr>
            <w:noProof/>
            <w:webHidden/>
          </w:rPr>
          <w:fldChar w:fldCharType="separate"/>
        </w:r>
        <w:r w:rsidR="001670EC">
          <w:rPr>
            <w:noProof/>
            <w:webHidden/>
          </w:rPr>
          <w:t>6</w:t>
        </w:r>
        <w:r>
          <w:rPr>
            <w:noProof/>
            <w:webHidden/>
          </w:rPr>
          <w:fldChar w:fldCharType="end"/>
        </w:r>
      </w:hyperlink>
    </w:p>
    <w:p w:rsidR="001670EC" w:rsidRDefault="003D1A5F">
      <w:pPr>
        <w:pStyle w:val="TOC4"/>
        <w:tabs>
          <w:tab w:val="right" w:leader="dot" w:pos="9350"/>
        </w:tabs>
        <w:rPr>
          <w:noProof/>
        </w:rPr>
      </w:pPr>
      <w:hyperlink w:anchor="_Toc352677316" w:history="1">
        <w:r w:rsidR="001670EC" w:rsidRPr="00F2113A">
          <w:rPr>
            <w:rStyle w:val="Hyperlink"/>
            <w:noProof/>
          </w:rPr>
          <w:t>Emerging Health Trends</w:t>
        </w:r>
        <w:r w:rsidR="001670EC">
          <w:rPr>
            <w:noProof/>
            <w:webHidden/>
          </w:rPr>
          <w:tab/>
        </w:r>
        <w:r>
          <w:rPr>
            <w:noProof/>
            <w:webHidden/>
          </w:rPr>
          <w:fldChar w:fldCharType="begin"/>
        </w:r>
        <w:r w:rsidR="001670EC">
          <w:rPr>
            <w:noProof/>
            <w:webHidden/>
          </w:rPr>
          <w:instrText xml:space="preserve"> PAGEREF _Toc352677316 \h </w:instrText>
        </w:r>
        <w:r>
          <w:rPr>
            <w:noProof/>
            <w:webHidden/>
          </w:rPr>
        </w:r>
        <w:r>
          <w:rPr>
            <w:noProof/>
            <w:webHidden/>
          </w:rPr>
          <w:fldChar w:fldCharType="separate"/>
        </w:r>
        <w:r w:rsidR="001670EC">
          <w:rPr>
            <w:noProof/>
            <w:webHidden/>
          </w:rPr>
          <w:t>6</w:t>
        </w:r>
        <w:r>
          <w:rPr>
            <w:noProof/>
            <w:webHidden/>
          </w:rPr>
          <w:fldChar w:fldCharType="end"/>
        </w:r>
      </w:hyperlink>
    </w:p>
    <w:p w:rsidR="001670EC" w:rsidRDefault="003D1A5F">
      <w:pPr>
        <w:pStyle w:val="TOC4"/>
        <w:tabs>
          <w:tab w:val="right" w:leader="dot" w:pos="9350"/>
        </w:tabs>
        <w:rPr>
          <w:noProof/>
        </w:rPr>
      </w:pPr>
      <w:hyperlink w:anchor="_Toc352677317" w:history="1">
        <w:r w:rsidR="001670EC" w:rsidRPr="00F2113A">
          <w:rPr>
            <w:rStyle w:val="Hyperlink"/>
            <w:noProof/>
          </w:rPr>
          <w:t>Health Prevention Agenda Priorities</w:t>
        </w:r>
        <w:r w:rsidR="001670EC">
          <w:rPr>
            <w:noProof/>
            <w:webHidden/>
          </w:rPr>
          <w:tab/>
        </w:r>
        <w:r>
          <w:rPr>
            <w:noProof/>
            <w:webHidden/>
          </w:rPr>
          <w:fldChar w:fldCharType="begin"/>
        </w:r>
        <w:r w:rsidR="001670EC">
          <w:rPr>
            <w:noProof/>
            <w:webHidden/>
          </w:rPr>
          <w:instrText xml:space="preserve"> PAGEREF _Toc352677317 \h </w:instrText>
        </w:r>
        <w:r>
          <w:rPr>
            <w:noProof/>
            <w:webHidden/>
          </w:rPr>
        </w:r>
        <w:r>
          <w:rPr>
            <w:noProof/>
            <w:webHidden/>
          </w:rPr>
          <w:fldChar w:fldCharType="separate"/>
        </w:r>
        <w:r w:rsidR="001670EC">
          <w:rPr>
            <w:noProof/>
            <w:webHidden/>
          </w:rPr>
          <w:t>8</w:t>
        </w:r>
        <w:r>
          <w:rPr>
            <w:noProof/>
            <w:webHidden/>
          </w:rPr>
          <w:fldChar w:fldCharType="end"/>
        </w:r>
      </w:hyperlink>
    </w:p>
    <w:p w:rsidR="001670EC" w:rsidRDefault="003D1A5F">
      <w:pPr>
        <w:pStyle w:val="TOC4"/>
        <w:tabs>
          <w:tab w:val="right" w:leader="dot" w:pos="9350"/>
        </w:tabs>
        <w:rPr>
          <w:noProof/>
        </w:rPr>
      </w:pPr>
      <w:hyperlink w:anchor="_Toc352677318" w:history="1">
        <w:r w:rsidR="001670EC" w:rsidRPr="00F2113A">
          <w:rPr>
            <w:rStyle w:val="Hyperlink"/>
            <w:noProof/>
          </w:rPr>
          <w:t>Priority Area Strategies and Effectiveness</w:t>
        </w:r>
        <w:r w:rsidR="001670EC">
          <w:rPr>
            <w:noProof/>
            <w:webHidden/>
          </w:rPr>
          <w:tab/>
        </w:r>
        <w:r>
          <w:rPr>
            <w:noProof/>
            <w:webHidden/>
          </w:rPr>
          <w:fldChar w:fldCharType="begin"/>
        </w:r>
        <w:r w:rsidR="001670EC">
          <w:rPr>
            <w:noProof/>
            <w:webHidden/>
          </w:rPr>
          <w:instrText xml:space="preserve"> PAGEREF _Toc352677318 \h </w:instrText>
        </w:r>
        <w:r>
          <w:rPr>
            <w:noProof/>
            <w:webHidden/>
          </w:rPr>
        </w:r>
        <w:r>
          <w:rPr>
            <w:noProof/>
            <w:webHidden/>
          </w:rPr>
          <w:fldChar w:fldCharType="separate"/>
        </w:r>
        <w:r w:rsidR="001670EC">
          <w:rPr>
            <w:noProof/>
            <w:webHidden/>
          </w:rPr>
          <w:t>11</w:t>
        </w:r>
        <w:r>
          <w:rPr>
            <w:noProof/>
            <w:webHidden/>
          </w:rPr>
          <w:fldChar w:fldCharType="end"/>
        </w:r>
      </w:hyperlink>
    </w:p>
    <w:p w:rsidR="001670EC" w:rsidRDefault="003D1A5F">
      <w:pPr>
        <w:pStyle w:val="TOC4"/>
        <w:tabs>
          <w:tab w:val="right" w:leader="dot" w:pos="9350"/>
        </w:tabs>
        <w:rPr>
          <w:noProof/>
        </w:rPr>
      </w:pPr>
      <w:hyperlink w:anchor="_Toc352677319" w:history="1">
        <w:r w:rsidR="001670EC" w:rsidRPr="00F2113A">
          <w:rPr>
            <w:rStyle w:val="Hyperlink"/>
            <w:noProof/>
          </w:rPr>
          <w:t>Area 1: Prevent chronic disease</w:t>
        </w:r>
        <w:r w:rsidR="001670EC">
          <w:rPr>
            <w:noProof/>
            <w:webHidden/>
          </w:rPr>
          <w:tab/>
        </w:r>
        <w:r>
          <w:rPr>
            <w:noProof/>
            <w:webHidden/>
          </w:rPr>
          <w:fldChar w:fldCharType="begin"/>
        </w:r>
        <w:r w:rsidR="001670EC">
          <w:rPr>
            <w:noProof/>
            <w:webHidden/>
          </w:rPr>
          <w:instrText xml:space="preserve"> PAGEREF _Toc352677319 \h </w:instrText>
        </w:r>
        <w:r>
          <w:rPr>
            <w:noProof/>
            <w:webHidden/>
          </w:rPr>
        </w:r>
        <w:r>
          <w:rPr>
            <w:noProof/>
            <w:webHidden/>
          </w:rPr>
          <w:fldChar w:fldCharType="separate"/>
        </w:r>
        <w:r w:rsidR="001670EC">
          <w:rPr>
            <w:noProof/>
            <w:webHidden/>
          </w:rPr>
          <w:t>12</w:t>
        </w:r>
        <w:r>
          <w:rPr>
            <w:noProof/>
            <w:webHidden/>
          </w:rPr>
          <w:fldChar w:fldCharType="end"/>
        </w:r>
      </w:hyperlink>
    </w:p>
    <w:p w:rsidR="001670EC" w:rsidRDefault="003D1A5F">
      <w:pPr>
        <w:pStyle w:val="TOC4"/>
        <w:tabs>
          <w:tab w:val="right" w:leader="dot" w:pos="9350"/>
        </w:tabs>
        <w:rPr>
          <w:noProof/>
        </w:rPr>
      </w:pPr>
      <w:hyperlink w:anchor="_Toc352677320" w:history="1">
        <w:r w:rsidR="001670EC" w:rsidRPr="00F2113A">
          <w:rPr>
            <w:rStyle w:val="Hyperlink"/>
            <w:noProof/>
          </w:rPr>
          <w:t>Area 2: Promote a healthy and safe environment</w:t>
        </w:r>
        <w:r w:rsidR="001670EC">
          <w:rPr>
            <w:noProof/>
            <w:webHidden/>
          </w:rPr>
          <w:tab/>
        </w:r>
        <w:r>
          <w:rPr>
            <w:noProof/>
            <w:webHidden/>
          </w:rPr>
          <w:fldChar w:fldCharType="begin"/>
        </w:r>
        <w:r w:rsidR="001670EC">
          <w:rPr>
            <w:noProof/>
            <w:webHidden/>
          </w:rPr>
          <w:instrText xml:space="preserve"> PAGEREF _Toc352677320 \h </w:instrText>
        </w:r>
        <w:r>
          <w:rPr>
            <w:noProof/>
            <w:webHidden/>
          </w:rPr>
        </w:r>
        <w:r>
          <w:rPr>
            <w:noProof/>
            <w:webHidden/>
          </w:rPr>
          <w:fldChar w:fldCharType="separate"/>
        </w:r>
        <w:r w:rsidR="001670EC">
          <w:rPr>
            <w:noProof/>
            <w:webHidden/>
          </w:rPr>
          <w:t>13</w:t>
        </w:r>
        <w:r>
          <w:rPr>
            <w:noProof/>
            <w:webHidden/>
          </w:rPr>
          <w:fldChar w:fldCharType="end"/>
        </w:r>
      </w:hyperlink>
    </w:p>
    <w:p w:rsidR="001670EC" w:rsidRDefault="003D1A5F">
      <w:pPr>
        <w:pStyle w:val="TOC4"/>
        <w:tabs>
          <w:tab w:val="right" w:leader="dot" w:pos="9350"/>
        </w:tabs>
        <w:rPr>
          <w:noProof/>
        </w:rPr>
      </w:pPr>
      <w:hyperlink w:anchor="_Toc352677321" w:history="1">
        <w:r w:rsidR="001670EC" w:rsidRPr="00F2113A">
          <w:rPr>
            <w:rStyle w:val="Hyperlink"/>
            <w:noProof/>
          </w:rPr>
          <w:t>Area 3: Promote healthy women, infants, and children</w:t>
        </w:r>
        <w:r w:rsidR="001670EC">
          <w:rPr>
            <w:noProof/>
            <w:webHidden/>
          </w:rPr>
          <w:tab/>
        </w:r>
        <w:r>
          <w:rPr>
            <w:noProof/>
            <w:webHidden/>
          </w:rPr>
          <w:fldChar w:fldCharType="begin"/>
        </w:r>
        <w:r w:rsidR="001670EC">
          <w:rPr>
            <w:noProof/>
            <w:webHidden/>
          </w:rPr>
          <w:instrText xml:space="preserve"> PAGEREF _Toc352677321 \h </w:instrText>
        </w:r>
        <w:r>
          <w:rPr>
            <w:noProof/>
            <w:webHidden/>
          </w:rPr>
        </w:r>
        <w:r>
          <w:rPr>
            <w:noProof/>
            <w:webHidden/>
          </w:rPr>
          <w:fldChar w:fldCharType="separate"/>
        </w:r>
        <w:r w:rsidR="001670EC">
          <w:rPr>
            <w:noProof/>
            <w:webHidden/>
          </w:rPr>
          <w:t>15</w:t>
        </w:r>
        <w:r>
          <w:rPr>
            <w:noProof/>
            <w:webHidden/>
          </w:rPr>
          <w:fldChar w:fldCharType="end"/>
        </w:r>
      </w:hyperlink>
    </w:p>
    <w:p w:rsidR="001670EC" w:rsidRDefault="003D1A5F">
      <w:pPr>
        <w:pStyle w:val="TOC4"/>
        <w:tabs>
          <w:tab w:val="right" w:leader="dot" w:pos="9350"/>
        </w:tabs>
        <w:rPr>
          <w:noProof/>
        </w:rPr>
      </w:pPr>
      <w:hyperlink w:anchor="_Toc352677322" w:history="1">
        <w:r w:rsidR="001670EC" w:rsidRPr="00F2113A">
          <w:rPr>
            <w:rStyle w:val="Hyperlink"/>
            <w:noProof/>
          </w:rPr>
          <w:t>Area 4: Promote mental health and prevent substance abuse</w:t>
        </w:r>
        <w:r w:rsidR="001670EC">
          <w:rPr>
            <w:noProof/>
            <w:webHidden/>
          </w:rPr>
          <w:tab/>
        </w:r>
        <w:r>
          <w:rPr>
            <w:noProof/>
            <w:webHidden/>
          </w:rPr>
          <w:fldChar w:fldCharType="begin"/>
        </w:r>
        <w:r w:rsidR="001670EC">
          <w:rPr>
            <w:noProof/>
            <w:webHidden/>
          </w:rPr>
          <w:instrText xml:space="preserve"> PAGEREF _Toc352677322 \h </w:instrText>
        </w:r>
        <w:r>
          <w:rPr>
            <w:noProof/>
            <w:webHidden/>
          </w:rPr>
        </w:r>
        <w:r>
          <w:rPr>
            <w:noProof/>
            <w:webHidden/>
          </w:rPr>
          <w:fldChar w:fldCharType="separate"/>
        </w:r>
        <w:r w:rsidR="001670EC">
          <w:rPr>
            <w:noProof/>
            <w:webHidden/>
          </w:rPr>
          <w:t>17</w:t>
        </w:r>
        <w:r>
          <w:rPr>
            <w:noProof/>
            <w:webHidden/>
          </w:rPr>
          <w:fldChar w:fldCharType="end"/>
        </w:r>
      </w:hyperlink>
    </w:p>
    <w:p w:rsidR="001670EC" w:rsidRDefault="003D1A5F">
      <w:pPr>
        <w:pStyle w:val="TOC4"/>
        <w:tabs>
          <w:tab w:val="right" w:leader="dot" w:pos="9350"/>
        </w:tabs>
        <w:rPr>
          <w:noProof/>
        </w:rPr>
      </w:pPr>
      <w:hyperlink w:anchor="_Toc352677323" w:history="1">
        <w:r w:rsidR="001670EC" w:rsidRPr="00F2113A">
          <w:rPr>
            <w:rStyle w:val="Hyperlink"/>
            <w:noProof/>
          </w:rPr>
          <w:t>Area 5: Prevent HIV, STIs, and vaccine preventable diseases</w:t>
        </w:r>
        <w:r w:rsidR="001670EC">
          <w:rPr>
            <w:noProof/>
            <w:webHidden/>
          </w:rPr>
          <w:tab/>
        </w:r>
        <w:r>
          <w:rPr>
            <w:noProof/>
            <w:webHidden/>
          </w:rPr>
          <w:fldChar w:fldCharType="begin"/>
        </w:r>
        <w:r w:rsidR="001670EC">
          <w:rPr>
            <w:noProof/>
            <w:webHidden/>
          </w:rPr>
          <w:instrText xml:space="preserve"> PAGEREF _Toc352677323 \h </w:instrText>
        </w:r>
        <w:r>
          <w:rPr>
            <w:noProof/>
            <w:webHidden/>
          </w:rPr>
        </w:r>
        <w:r>
          <w:rPr>
            <w:noProof/>
            <w:webHidden/>
          </w:rPr>
          <w:fldChar w:fldCharType="separate"/>
        </w:r>
        <w:r w:rsidR="001670EC">
          <w:rPr>
            <w:noProof/>
            <w:webHidden/>
          </w:rPr>
          <w:t>21</w:t>
        </w:r>
        <w:r>
          <w:rPr>
            <w:noProof/>
            <w:webHidden/>
          </w:rPr>
          <w:fldChar w:fldCharType="end"/>
        </w:r>
      </w:hyperlink>
    </w:p>
    <w:p w:rsidR="001670EC" w:rsidRDefault="003D1A5F">
      <w:pPr>
        <w:pStyle w:val="TOC4"/>
        <w:tabs>
          <w:tab w:val="right" w:leader="dot" w:pos="9350"/>
        </w:tabs>
        <w:rPr>
          <w:noProof/>
        </w:rPr>
      </w:pPr>
      <w:hyperlink w:anchor="_Toc352677324" w:history="1">
        <w:r w:rsidR="001670EC" w:rsidRPr="00F2113A">
          <w:rPr>
            <w:rStyle w:val="Hyperlink"/>
            <w:noProof/>
          </w:rPr>
          <w:t>Technology use and prioritization</w:t>
        </w:r>
        <w:r w:rsidR="001670EC">
          <w:rPr>
            <w:noProof/>
            <w:webHidden/>
          </w:rPr>
          <w:tab/>
        </w:r>
        <w:r>
          <w:rPr>
            <w:noProof/>
            <w:webHidden/>
          </w:rPr>
          <w:fldChar w:fldCharType="begin"/>
        </w:r>
        <w:r w:rsidR="001670EC">
          <w:rPr>
            <w:noProof/>
            <w:webHidden/>
          </w:rPr>
          <w:instrText xml:space="preserve"> PAGEREF _Toc352677324 \h </w:instrText>
        </w:r>
        <w:r>
          <w:rPr>
            <w:noProof/>
            <w:webHidden/>
          </w:rPr>
        </w:r>
        <w:r>
          <w:rPr>
            <w:noProof/>
            <w:webHidden/>
          </w:rPr>
          <w:fldChar w:fldCharType="separate"/>
        </w:r>
        <w:r w:rsidR="001670EC">
          <w:rPr>
            <w:noProof/>
            <w:webHidden/>
          </w:rPr>
          <w:t>23</w:t>
        </w:r>
        <w:r>
          <w:rPr>
            <w:noProof/>
            <w:webHidden/>
          </w:rPr>
          <w:fldChar w:fldCharType="end"/>
        </w:r>
      </w:hyperlink>
    </w:p>
    <w:p w:rsidR="001670EC" w:rsidRDefault="003D1A5F">
      <w:pPr>
        <w:pStyle w:val="TOC4"/>
        <w:tabs>
          <w:tab w:val="right" w:leader="dot" w:pos="9350"/>
        </w:tabs>
        <w:rPr>
          <w:noProof/>
        </w:rPr>
      </w:pPr>
      <w:hyperlink w:anchor="_Toc352677325" w:history="1">
        <w:r w:rsidR="001670EC" w:rsidRPr="00F2113A">
          <w:rPr>
            <w:rStyle w:val="Hyperlink"/>
            <w:noProof/>
          </w:rPr>
          <w:t>Additional comments and challenges</w:t>
        </w:r>
        <w:r w:rsidR="001670EC">
          <w:rPr>
            <w:noProof/>
            <w:webHidden/>
          </w:rPr>
          <w:tab/>
        </w:r>
        <w:r>
          <w:rPr>
            <w:noProof/>
            <w:webHidden/>
          </w:rPr>
          <w:fldChar w:fldCharType="begin"/>
        </w:r>
        <w:r w:rsidR="001670EC">
          <w:rPr>
            <w:noProof/>
            <w:webHidden/>
          </w:rPr>
          <w:instrText xml:space="preserve"> PAGEREF _Toc352677325 \h </w:instrText>
        </w:r>
        <w:r>
          <w:rPr>
            <w:noProof/>
            <w:webHidden/>
          </w:rPr>
        </w:r>
        <w:r>
          <w:rPr>
            <w:noProof/>
            <w:webHidden/>
          </w:rPr>
          <w:fldChar w:fldCharType="separate"/>
        </w:r>
        <w:r w:rsidR="001670EC">
          <w:rPr>
            <w:noProof/>
            <w:webHidden/>
          </w:rPr>
          <w:t>25</w:t>
        </w:r>
        <w:r>
          <w:rPr>
            <w:noProof/>
            <w:webHidden/>
          </w:rPr>
          <w:fldChar w:fldCharType="end"/>
        </w:r>
      </w:hyperlink>
    </w:p>
    <w:p w:rsidR="001670EC" w:rsidRDefault="003D1A5F" w:rsidP="00477618">
      <w:r>
        <w:fldChar w:fldCharType="end"/>
      </w:r>
    </w:p>
    <w:p w:rsidR="001670EC" w:rsidRDefault="001670EC" w:rsidP="00477618">
      <w:pPr>
        <w:sectPr w:rsidR="001670EC" w:rsidSect="00477618">
          <w:headerReference w:type="default" r:id="rId43"/>
          <w:footerReference w:type="default" r:id="rId44"/>
          <w:pgSz w:w="12240" w:h="15840"/>
          <w:pgMar w:top="1440" w:right="1440" w:bottom="1440" w:left="1440" w:header="720" w:footer="720" w:gutter="0"/>
          <w:pgNumType w:fmt="lowerRoman" w:start="1"/>
          <w:cols w:space="720"/>
          <w:docGrid w:linePitch="360"/>
        </w:sectPr>
      </w:pPr>
    </w:p>
    <w:p w:rsidR="001670EC" w:rsidRDefault="001670EC">
      <w:pPr>
        <w:rPr>
          <w:rFonts w:ascii="Cambria" w:hAnsi="Cambria"/>
          <w:b/>
          <w:bCs/>
          <w:iCs/>
          <w:color w:val="4F81BD"/>
          <w:sz w:val="26"/>
          <w:szCs w:val="26"/>
        </w:rPr>
      </w:pPr>
      <w:bookmarkStart w:id="44" w:name="_Toc352672701"/>
      <w:bookmarkStart w:id="45" w:name="_Toc352673027"/>
      <w:bookmarkStart w:id="46" w:name="_Toc352677311"/>
      <w:r>
        <w:rPr>
          <w:i/>
          <w:sz w:val="26"/>
          <w:szCs w:val="26"/>
        </w:rPr>
        <w:br w:type="page"/>
      </w:r>
    </w:p>
    <w:p w:rsidR="001670EC" w:rsidRPr="00717039" w:rsidRDefault="001670EC" w:rsidP="00717039">
      <w:pPr>
        <w:pStyle w:val="Heading4"/>
        <w:rPr>
          <w:i w:val="0"/>
          <w:sz w:val="26"/>
          <w:szCs w:val="26"/>
        </w:rPr>
      </w:pPr>
      <w:r w:rsidRPr="00717039">
        <w:rPr>
          <w:i w:val="0"/>
          <w:sz w:val="26"/>
          <w:szCs w:val="26"/>
        </w:rPr>
        <w:t>Executive Summary</w:t>
      </w:r>
      <w:bookmarkEnd w:id="44"/>
      <w:bookmarkEnd w:id="45"/>
      <w:bookmarkEnd w:id="46"/>
    </w:p>
    <w:p w:rsidR="001670EC" w:rsidRDefault="001670EC" w:rsidP="00477618">
      <w:r>
        <w:t>In December 2012 and January 2013, the Adirondack Regional Health Network (ARHN) conducted a survey of selected stakeholders representing health care and service-providing agencies within the eight-county region. The results of the survey are intended to provide an overview of regional needs and priorities, to inform future planning and the development of a regional health care agenda.</w:t>
      </w:r>
    </w:p>
    <w:p w:rsidR="001670EC" w:rsidRDefault="001670EC" w:rsidP="00521C49">
      <w:pPr>
        <w:pStyle w:val="ListParagraph"/>
        <w:numPr>
          <w:ilvl w:val="0"/>
          <w:numId w:val="1"/>
        </w:numPr>
      </w:pPr>
      <w:r>
        <w:t>The 81-question survey was distributed electronically to 624 participants. In total, 285 surveys were completed, a response rate of 45.7 percent.</w:t>
      </w:r>
    </w:p>
    <w:p w:rsidR="001670EC" w:rsidRDefault="001670EC" w:rsidP="00521C49">
      <w:pPr>
        <w:pStyle w:val="ListParagraph"/>
        <w:numPr>
          <w:ilvl w:val="0"/>
          <w:numId w:val="1"/>
        </w:numPr>
      </w:pPr>
      <w:r>
        <w:t>Among the five NYS Prevention Agenda priority areas, chronic disease was ranked as the area of highest community need and agency interest.</w:t>
      </w:r>
    </w:p>
    <w:p w:rsidR="001670EC" w:rsidRDefault="001670EC" w:rsidP="00521C49">
      <w:pPr>
        <w:pStyle w:val="ListParagraph"/>
        <w:numPr>
          <w:ilvl w:val="0"/>
          <w:numId w:val="1"/>
        </w:numPr>
      </w:pPr>
      <w:r>
        <w:t xml:space="preserve">The agenda area of HIV, STIs, and vaccine preventable diseases was ranked lowest in terms of overall interest and concern. </w:t>
      </w:r>
    </w:p>
    <w:p w:rsidR="001670EC" w:rsidRDefault="001670EC" w:rsidP="00521C49">
      <w:pPr>
        <w:pStyle w:val="ListParagraph"/>
        <w:numPr>
          <w:ilvl w:val="0"/>
          <w:numId w:val="1"/>
        </w:numPr>
      </w:pPr>
      <w:r>
        <w:t>The top emerging issues in the region include increases in obesity and related health issues, increases in substance abuse, and mental illness.</w:t>
      </w:r>
    </w:p>
    <w:p w:rsidR="001670EC" w:rsidRDefault="001670EC" w:rsidP="00521C49">
      <w:pPr>
        <w:pStyle w:val="ListParagraph"/>
        <w:numPr>
          <w:ilvl w:val="0"/>
          <w:numId w:val="1"/>
        </w:numPr>
      </w:pPr>
      <w:r>
        <w:t>The population groups identified most in need of targeted interventions are: the poor, children, individuals with mental health issues, the elderly, and substance abusers.</w:t>
      </w:r>
    </w:p>
    <w:p w:rsidR="001670EC" w:rsidRDefault="001670EC" w:rsidP="00521C49">
      <w:pPr>
        <w:pStyle w:val="ListParagraph"/>
        <w:numPr>
          <w:ilvl w:val="0"/>
          <w:numId w:val="1"/>
        </w:numPr>
      </w:pPr>
      <w:r>
        <w:t>Only about half of survey respondents reported being familiar with the NYS Department of Health Prevention Agenda priority areas.</w:t>
      </w:r>
    </w:p>
    <w:p w:rsidR="001670EC" w:rsidRDefault="001670EC" w:rsidP="00521C49">
      <w:pPr>
        <w:pStyle w:val="ListParagraph"/>
        <w:numPr>
          <w:ilvl w:val="0"/>
          <w:numId w:val="1"/>
        </w:numPr>
      </w:pPr>
      <w:r>
        <w:t>The individual issues of greatest importance to survey respondents were the general health and safety of the physical environment, diabetes prevention, substance abuse, mental health screening and treatment, and the prevention of heart disease.</w:t>
      </w:r>
    </w:p>
    <w:p w:rsidR="001670EC" w:rsidRDefault="001670EC" w:rsidP="00521C49">
      <w:pPr>
        <w:pStyle w:val="ListParagraph"/>
        <w:numPr>
          <w:ilvl w:val="0"/>
          <w:numId w:val="1"/>
        </w:numPr>
      </w:pPr>
      <w:r>
        <w:t>When asked to rate the effectiveness of current local efforts to address major health issues, a large portion of respondents indicated that they did not know, which suggests that additional information and publicity may be needed for health activities in the region.</w:t>
      </w:r>
    </w:p>
    <w:p w:rsidR="001670EC" w:rsidRDefault="001670EC" w:rsidP="00521C49">
      <w:pPr>
        <w:pStyle w:val="ListParagraph"/>
        <w:numPr>
          <w:ilvl w:val="0"/>
          <w:numId w:val="1"/>
        </w:numPr>
      </w:pPr>
      <w:r>
        <w:t>Education is the dominant strategy currently used to address major health issues in the region. Direct, hands-on strategies such as screening or clinical services are less prevalent.</w:t>
      </w:r>
    </w:p>
    <w:p w:rsidR="001670EC" w:rsidRDefault="001670EC" w:rsidP="00521C49">
      <w:pPr>
        <w:pStyle w:val="ListParagraph"/>
        <w:numPr>
          <w:ilvl w:val="0"/>
          <w:numId w:val="1"/>
        </w:numPr>
      </w:pPr>
      <w:r>
        <w:t>Technology is not highly utilized by health service providers and their clients in the region. A slight majority of respondents agreed that technology enhancement should be a top priority for the region.</w:t>
      </w:r>
    </w:p>
    <w:p w:rsidR="001670EC" w:rsidRDefault="001670EC" w:rsidP="00521C49">
      <w:pPr>
        <w:pStyle w:val="ListParagraph"/>
        <w:numPr>
          <w:ilvl w:val="0"/>
          <w:numId w:val="1"/>
        </w:numPr>
      </w:pPr>
      <w:r>
        <w:t>The top future concern for stakeholders was funding. Regional health care organizations expressed concerns about reimbursement rates and expectations of reduced funding through government payments and other grants.</w:t>
      </w:r>
    </w:p>
    <w:p w:rsidR="001670EC" w:rsidRDefault="001670EC" w:rsidP="00477618"/>
    <w:p w:rsidR="001670EC" w:rsidRDefault="001670EC" w:rsidP="00477618"/>
    <w:p w:rsidR="001670EC" w:rsidRDefault="001670EC" w:rsidP="00477618">
      <w:r>
        <w:br w:type="page"/>
      </w:r>
    </w:p>
    <w:p w:rsidR="001670EC" w:rsidRPr="00717039" w:rsidRDefault="001670EC" w:rsidP="00717039">
      <w:pPr>
        <w:pStyle w:val="Heading4"/>
        <w:rPr>
          <w:i w:val="0"/>
          <w:sz w:val="26"/>
          <w:szCs w:val="26"/>
        </w:rPr>
      </w:pPr>
      <w:bookmarkStart w:id="47" w:name="_Toc352672702"/>
      <w:bookmarkStart w:id="48" w:name="_Toc352673028"/>
      <w:bookmarkStart w:id="49" w:name="_Toc352677312"/>
      <w:r w:rsidRPr="00717039">
        <w:rPr>
          <w:i w:val="0"/>
          <w:sz w:val="26"/>
          <w:szCs w:val="26"/>
        </w:rPr>
        <w:t>Overview</w:t>
      </w:r>
      <w:bookmarkEnd w:id="47"/>
      <w:bookmarkEnd w:id="48"/>
      <w:bookmarkEnd w:id="49"/>
    </w:p>
    <w:p w:rsidR="001670EC" w:rsidRDefault="001670EC" w:rsidP="008718BA">
      <w:r>
        <w:t xml:space="preserve">This report details the findings of a survey conducted by the Center for Human Services Research (CHSR) and the Adirondack Rural Health Network (ARHN) between December 5, 2012 and January 21, 2013. The purpose of the study was to obtain feedback from community service providers in order to: 1) guide strategic planning, 2) highlight topics for increased public awareness, 3) identify areas for training, and 4) inform the statewide prevention agenda. Results presented in this report are for the entire region served by the Adirondack Rural Health Network, which includes eight counties located in upstate New York. In this report, these counties will be referred to as “the region”: </w:t>
      </w:r>
    </w:p>
    <w:p w:rsidR="001670EC" w:rsidRDefault="001670EC" w:rsidP="00521C49">
      <w:pPr>
        <w:pStyle w:val="ListParagraph"/>
        <w:numPr>
          <w:ilvl w:val="0"/>
          <w:numId w:val="2"/>
        </w:numPr>
        <w:sectPr w:rsidR="001670EC" w:rsidSect="008718BA">
          <w:footerReference w:type="default" r:id="rId45"/>
          <w:type w:val="continuous"/>
          <w:pgSz w:w="12240" w:h="15840"/>
          <w:pgMar w:top="1260" w:right="1440" w:bottom="1260" w:left="1440" w:header="720" w:footer="720" w:gutter="0"/>
          <w:cols w:space="720"/>
          <w:docGrid w:linePitch="360"/>
        </w:sectPr>
      </w:pPr>
    </w:p>
    <w:p w:rsidR="001670EC" w:rsidRDefault="001670EC" w:rsidP="00521C49">
      <w:pPr>
        <w:pStyle w:val="ListParagraph"/>
        <w:numPr>
          <w:ilvl w:val="0"/>
          <w:numId w:val="2"/>
        </w:numPr>
      </w:pPr>
      <w:r>
        <w:t>Clinton</w:t>
      </w:r>
    </w:p>
    <w:p w:rsidR="001670EC" w:rsidRDefault="001670EC" w:rsidP="00521C49">
      <w:pPr>
        <w:pStyle w:val="ListParagraph"/>
        <w:numPr>
          <w:ilvl w:val="0"/>
          <w:numId w:val="2"/>
        </w:numPr>
      </w:pPr>
      <w:r>
        <w:t>Essex</w:t>
      </w:r>
    </w:p>
    <w:p w:rsidR="001670EC" w:rsidRDefault="001670EC" w:rsidP="00521C49">
      <w:pPr>
        <w:pStyle w:val="ListParagraph"/>
        <w:numPr>
          <w:ilvl w:val="0"/>
          <w:numId w:val="2"/>
        </w:numPr>
      </w:pPr>
      <w:r>
        <w:t>Franklin</w:t>
      </w:r>
    </w:p>
    <w:p w:rsidR="001670EC" w:rsidRDefault="001670EC" w:rsidP="00521C49">
      <w:pPr>
        <w:pStyle w:val="ListParagraph"/>
        <w:numPr>
          <w:ilvl w:val="0"/>
          <w:numId w:val="2"/>
        </w:numPr>
      </w:pPr>
      <w:r>
        <w:t>Fulton</w:t>
      </w:r>
    </w:p>
    <w:p w:rsidR="001670EC" w:rsidRDefault="001670EC" w:rsidP="00521C49">
      <w:pPr>
        <w:pStyle w:val="ListParagraph"/>
        <w:numPr>
          <w:ilvl w:val="0"/>
          <w:numId w:val="2"/>
        </w:numPr>
      </w:pPr>
      <w:r>
        <w:t>Hamilton</w:t>
      </w:r>
    </w:p>
    <w:p w:rsidR="001670EC" w:rsidRDefault="001670EC" w:rsidP="00521C49">
      <w:pPr>
        <w:pStyle w:val="ListParagraph"/>
        <w:numPr>
          <w:ilvl w:val="0"/>
          <w:numId w:val="2"/>
        </w:numPr>
      </w:pPr>
      <w:r>
        <w:t>Saratoga</w:t>
      </w:r>
    </w:p>
    <w:p w:rsidR="001670EC" w:rsidRDefault="001670EC" w:rsidP="00521C49">
      <w:pPr>
        <w:pStyle w:val="ListParagraph"/>
        <w:numPr>
          <w:ilvl w:val="0"/>
          <w:numId w:val="2"/>
        </w:numPr>
      </w:pPr>
      <w:r>
        <w:t>Warren</w:t>
      </w:r>
    </w:p>
    <w:p w:rsidR="001670EC" w:rsidRDefault="001670EC" w:rsidP="00521C49">
      <w:pPr>
        <w:pStyle w:val="ListParagraph"/>
        <w:numPr>
          <w:ilvl w:val="0"/>
          <w:numId w:val="2"/>
        </w:numPr>
      </w:pPr>
      <w:r>
        <w:t>Washington</w:t>
      </w:r>
    </w:p>
    <w:p w:rsidR="001670EC" w:rsidRDefault="001670EC" w:rsidP="00717039">
      <w:pPr>
        <w:pStyle w:val="Heading4"/>
        <w:rPr>
          <w:i w:val="0"/>
          <w:sz w:val="26"/>
          <w:szCs w:val="26"/>
        </w:rPr>
        <w:sectPr w:rsidR="001670EC" w:rsidSect="00D00D03">
          <w:type w:val="continuous"/>
          <w:pgSz w:w="12240" w:h="15840"/>
          <w:pgMar w:top="1260" w:right="1440" w:bottom="1260" w:left="1440" w:header="720" w:footer="720" w:gutter="0"/>
          <w:cols w:num="2" w:space="720"/>
          <w:docGrid w:linePitch="360"/>
        </w:sectPr>
      </w:pPr>
      <w:bookmarkStart w:id="50" w:name="_Toc352672703"/>
      <w:bookmarkStart w:id="51" w:name="_Toc352673029"/>
      <w:bookmarkStart w:id="52" w:name="_Toc352677313"/>
    </w:p>
    <w:p w:rsidR="001670EC" w:rsidRDefault="001670EC" w:rsidP="00717039">
      <w:pPr>
        <w:pStyle w:val="Heading4"/>
        <w:rPr>
          <w:i w:val="0"/>
          <w:sz w:val="26"/>
          <w:szCs w:val="26"/>
        </w:rPr>
      </w:pPr>
    </w:p>
    <w:p w:rsidR="001670EC" w:rsidRPr="00717039" w:rsidRDefault="001670EC" w:rsidP="00717039">
      <w:pPr>
        <w:pStyle w:val="Heading4"/>
        <w:rPr>
          <w:i w:val="0"/>
          <w:sz w:val="26"/>
          <w:szCs w:val="26"/>
        </w:rPr>
      </w:pPr>
      <w:r w:rsidRPr="00717039">
        <w:rPr>
          <w:i w:val="0"/>
          <w:sz w:val="26"/>
          <w:szCs w:val="26"/>
        </w:rPr>
        <w:t>Methodology</w:t>
      </w:r>
      <w:bookmarkEnd w:id="50"/>
      <w:bookmarkEnd w:id="51"/>
      <w:bookmarkEnd w:id="52"/>
    </w:p>
    <w:p w:rsidR="001670EC" w:rsidRDefault="001670EC" w:rsidP="00477618">
      <w:r>
        <w:t xml:space="preserve">The 81 question survey was developed through a collaborative effort by a seven-member ARHN subcommittee during the fall of 2012. The seven volunteer members are representatives of county public health departments and hospitals in the region that are involved in the ARHN. Subcommittee members were responsible for identifying the broad research questions to be addressed by the survey, as well as for drafting the individual survey questions. </w:t>
      </w:r>
    </w:p>
    <w:p w:rsidR="001670EC" w:rsidRDefault="001670EC" w:rsidP="00477618">
      <w:r>
        <w:t>Subcommittee members were also charged with identifying potential respondents to participate in the survey. Because each county in the region is unique in its health care and service-provision structure, ARHN members from each of the counties were asked to generate a list of relevant stakeholders from their own communities who would represent the full range of programs and service providers. As such, the survey population does not necessarily represent a random sampling of health care and service providers, but an attempt at a complete list of the agencies deemed by the ARHN to be the most important and representative within the region.</w:t>
      </w:r>
    </w:p>
    <w:p w:rsidR="001670EC" w:rsidRDefault="001670EC" w:rsidP="00477618">
      <w:r>
        <w:t>The survey was administered electronically using the web-based Survey Monkey program and distributed to an email contact list of 624 individuals identified in the stakeholder list created by the subcommittee. Two weeks before the survey was launched on December 5, 2012, an announcement was sent to all participants to encourage participation. After the initial survey email, two reminder notices were also sent to those who had not yet completed the survey. Additionally, participation was also incentivized through an opt-in gift card drawing, with 20 entrants randomly selected to receive a $25 Stewart’s gift card at the conclusion of the survey. Ultimately, 285 surveys were completed during the six-week survey period, a response rate of 45.7 percent.</w:t>
      </w:r>
    </w:p>
    <w:p w:rsidR="001670EC" w:rsidRDefault="001670EC">
      <w:pPr>
        <w:rPr>
          <w:rFonts w:ascii="Cambria" w:hAnsi="Cambria"/>
          <w:b/>
          <w:color w:val="4F81BD"/>
          <w:sz w:val="26"/>
          <w:szCs w:val="26"/>
        </w:rPr>
      </w:pPr>
      <w:bookmarkStart w:id="53" w:name="_Toc352672704"/>
      <w:bookmarkStart w:id="54" w:name="_Toc352673030"/>
      <w:bookmarkStart w:id="55" w:name="_Toc352677314"/>
      <w:r>
        <w:rPr>
          <w:b/>
          <w:color w:val="4F81BD"/>
          <w:sz w:val="26"/>
          <w:szCs w:val="26"/>
        </w:rPr>
        <w:br w:type="page"/>
      </w:r>
    </w:p>
    <w:p w:rsidR="001670EC" w:rsidRPr="003104A5" w:rsidRDefault="001670EC" w:rsidP="004574A4">
      <w:pPr>
        <w:pStyle w:val="Heading5"/>
        <w:rPr>
          <w:b/>
          <w:color w:val="4F81BD"/>
          <w:sz w:val="26"/>
          <w:szCs w:val="26"/>
        </w:rPr>
      </w:pPr>
      <w:r w:rsidRPr="003104A5">
        <w:rPr>
          <w:b/>
          <w:color w:val="4F81BD"/>
          <w:sz w:val="26"/>
          <w:szCs w:val="26"/>
        </w:rPr>
        <w:t>Profile of Survey Respondents</w:t>
      </w:r>
      <w:bookmarkEnd w:id="53"/>
      <w:bookmarkEnd w:id="54"/>
      <w:bookmarkEnd w:id="55"/>
    </w:p>
    <w:p w:rsidR="001670EC" w:rsidRDefault="001670EC" w:rsidP="00477618">
      <w:r>
        <w:t>The tables in this section do not provide survey results, but instead provide a summary overview of the composition of survey participants. The representativeness of the survey participants as a true sample of health organizations in the region is dependent upon the mailing list compiled by ARHN and the willing and unbiased participation of the stakeholders that received the survey invitations.</w:t>
      </w:r>
    </w:p>
    <w:p w:rsidR="001670EC" w:rsidRDefault="001670EC" w:rsidP="00477618">
      <w:r>
        <w:t xml:space="preserve"> Survey participants represent a diverse array of different agencies, population groups, and service-areas within the overall eight-county ARHN region. Below, Table A.1 shows the primary functions selected by respondents and Table 2 shows the populations that their agencies serve. Health care and educational agencies are well represented, and the majority provides services to children and adolescents, as well as people living at or near the poverty level. </w:t>
      </w:r>
    </w:p>
    <w:p w:rsidR="001670EC" w:rsidRPr="00E17846" w:rsidRDefault="001670EC" w:rsidP="00477618">
      <w:pPr>
        <w:rPr>
          <w:b/>
        </w:rPr>
      </w:pPr>
      <w:r>
        <w:rPr>
          <w:b/>
        </w:rPr>
        <w:t>Table A.1. Primary functions indicated by survey respondents</w:t>
      </w:r>
    </w:p>
    <w:tbl>
      <w:tblPr>
        <w:tblW w:w="4500" w:type="dxa"/>
        <w:tblInd w:w="93" w:type="dxa"/>
        <w:tblLook w:val="00A0"/>
      </w:tblPr>
      <w:tblGrid>
        <w:gridCol w:w="3080"/>
        <w:gridCol w:w="1420"/>
      </w:tblGrid>
      <w:tr w:rsidR="001670EC" w:rsidRPr="00680D98" w:rsidTr="00477618">
        <w:trPr>
          <w:trHeight w:val="600"/>
        </w:trPr>
        <w:tc>
          <w:tcPr>
            <w:tcW w:w="3080" w:type="dxa"/>
            <w:tcBorders>
              <w:top w:val="single" w:sz="4" w:space="0" w:color="auto"/>
              <w:left w:val="nil"/>
              <w:bottom w:val="single" w:sz="4" w:space="0" w:color="auto"/>
              <w:right w:val="nil"/>
            </w:tcBorders>
            <w:shd w:val="clear" w:color="000000" w:fill="FFFFFF"/>
            <w:vAlign w:val="bottom"/>
          </w:tcPr>
          <w:p w:rsidR="001670EC" w:rsidRPr="00E17846" w:rsidRDefault="001670EC" w:rsidP="00477618">
            <w:pPr>
              <w:spacing w:after="0" w:line="240" w:lineRule="auto"/>
              <w:jc w:val="center"/>
              <w:rPr>
                <w:rFonts w:cs="Calibri"/>
                <w:color w:val="000000"/>
              </w:rPr>
            </w:pPr>
            <w:r w:rsidRPr="00E17846">
              <w:rPr>
                <w:rFonts w:cs="Calibri"/>
                <w:color w:val="000000"/>
              </w:rPr>
              <w:t>Organization Primary Function</w:t>
            </w:r>
          </w:p>
        </w:tc>
        <w:tc>
          <w:tcPr>
            <w:tcW w:w="1420" w:type="dxa"/>
            <w:tcBorders>
              <w:top w:val="single" w:sz="4" w:space="0" w:color="auto"/>
              <w:left w:val="nil"/>
              <w:bottom w:val="single" w:sz="4" w:space="0" w:color="auto"/>
              <w:right w:val="nil"/>
            </w:tcBorders>
            <w:shd w:val="clear" w:color="000000" w:fill="FFFFFF"/>
            <w:vAlign w:val="bottom"/>
          </w:tcPr>
          <w:p w:rsidR="001670EC" w:rsidRPr="00E17846" w:rsidRDefault="001670EC" w:rsidP="00477618">
            <w:pPr>
              <w:spacing w:after="0" w:line="240" w:lineRule="auto"/>
              <w:jc w:val="center"/>
              <w:rPr>
                <w:rFonts w:cs="Calibri"/>
                <w:color w:val="000000"/>
              </w:rPr>
            </w:pPr>
            <w:r w:rsidRPr="00E17846">
              <w:rPr>
                <w:rFonts w:cs="Calibri"/>
                <w:color w:val="000000"/>
              </w:rPr>
              <w:t>Percent of all applicants</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Health care</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36.8</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Education</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36.5</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Behavioral health</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17.5</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Healthy environment</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14.7</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Early childhood svcs</w:t>
            </w:r>
            <w:r>
              <w:rPr>
                <w:rFonts w:cs="Calibri"/>
                <w:color w:val="000000"/>
              </w:rPr>
              <w:t>.</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14.4</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Social services</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11.9</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Senior services</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11.2</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Other services</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9.1</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Developmental disability svcs</w:t>
            </w:r>
            <w:r>
              <w:rPr>
                <w:rFonts w:cs="Calibri"/>
                <w:color w:val="000000"/>
              </w:rPr>
              <w:t>.</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8.4</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Employ &amp; training</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8.4</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Housing services</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8.1</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STI/HIV prevention</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6.0</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Physical disability svcs</w:t>
            </w:r>
            <w:r>
              <w:rPr>
                <w:rFonts w:cs="Calibri"/>
                <w:color w:val="000000"/>
              </w:rPr>
              <w:t>.</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4.9</w:t>
            </w:r>
          </w:p>
        </w:tc>
      </w:tr>
      <w:tr w:rsidR="001670EC" w:rsidRPr="00680D98" w:rsidTr="00477618">
        <w:trPr>
          <w:trHeight w:val="300"/>
        </w:trPr>
        <w:tc>
          <w:tcPr>
            <w:tcW w:w="308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Government agency</w:t>
            </w:r>
          </w:p>
        </w:tc>
        <w:tc>
          <w:tcPr>
            <w:tcW w:w="142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2.1</w:t>
            </w:r>
          </w:p>
        </w:tc>
      </w:tr>
      <w:tr w:rsidR="001670EC" w:rsidRPr="00680D98" w:rsidTr="00477618">
        <w:trPr>
          <w:trHeight w:val="300"/>
        </w:trPr>
        <w:tc>
          <w:tcPr>
            <w:tcW w:w="3080" w:type="dxa"/>
            <w:tcBorders>
              <w:top w:val="nil"/>
              <w:left w:val="nil"/>
              <w:bottom w:val="single" w:sz="4" w:space="0" w:color="auto"/>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Testing and prevention </w:t>
            </w:r>
          </w:p>
        </w:tc>
        <w:tc>
          <w:tcPr>
            <w:tcW w:w="1420" w:type="dxa"/>
            <w:tcBorders>
              <w:top w:val="nil"/>
              <w:left w:val="nil"/>
              <w:bottom w:val="single" w:sz="4" w:space="0" w:color="auto"/>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2.1</w:t>
            </w:r>
          </w:p>
        </w:tc>
      </w:tr>
      <w:tr w:rsidR="001670EC" w:rsidRPr="00680D98" w:rsidTr="00477618">
        <w:trPr>
          <w:trHeight w:val="300"/>
        </w:trPr>
        <w:tc>
          <w:tcPr>
            <w:tcW w:w="4500" w:type="dxa"/>
            <w:gridSpan w:val="2"/>
            <w:tcBorders>
              <w:top w:val="nil"/>
              <w:left w:val="nil"/>
              <w:bottom w:val="nil"/>
              <w:right w:val="nil"/>
            </w:tcBorders>
            <w:noWrap/>
            <w:vAlign w:val="bottom"/>
          </w:tcPr>
          <w:p w:rsidR="001670EC" w:rsidRPr="00E17846" w:rsidRDefault="001670EC" w:rsidP="00477618">
            <w:pPr>
              <w:spacing w:after="0" w:line="240" w:lineRule="auto"/>
              <w:rPr>
                <w:rFonts w:cs="Calibri"/>
                <w:color w:val="000000"/>
                <w:sz w:val="16"/>
                <w:szCs w:val="16"/>
              </w:rPr>
            </w:pPr>
            <w:r w:rsidRPr="00E17846">
              <w:rPr>
                <w:rFonts w:cs="Calibri"/>
                <w:color w:val="000000"/>
                <w:sz w:val="16"/>
                <w:szCs w:val="16"/>
              </w:rPr>
              <w:t>Note: Respondents could select more than one primary function.</w:t>
            </w:r>
          </w:p>
        </w:tc>
      </w:tr>
    </w:tbl>
    <w:p w:rsidR="001670EC" w:rsidRDefault="001670EC" w:rsidP="00477618"/>
    <w:p w:rsidR="001670EC" w:rsidRDefault="001670EC">
      <w:pPr>
        <w:rPr>
          <w:b/>
        </w:rPr>
      </w:pPr>
      <w:r>
        <w:rPr>
          <w:b/>
        </w:rPr>
        <w:br w:type="page"/>
      </w:r>
    </w:p>
    <w:p w:rsidR="001670EC" w:rsidRPr="00E17846" w:rsidRDefault="001670EC" w:rsidP="00477618">
      <w:pPr>
        <w:rPr>
          <w:b/>
        </w:rPr>
      </w:pPr>
      <w:r w:rsidRPr="00E17846">
        <w:rPr>
          <w:b/>
        </w:rPr>
        <w:t xml:space="preserve">Table </w:t>
      </w:r>
      <w:r>
        <w:rPr>
          <w:b/>
        </w:rPr>
        <w:t>A.</w:t>
      </w:r>
      <w:r w:rsidRPr="00E17846">
        <w:rPr>
          <w:b/>
        </w:rPr>
        <w:t>2. Populations served by survey respondent agencies</w:t>
      </w:r>
    </w:p>
    <w:tbl>
      <w:tblPr>
        <w:tblW w:w="5220" w:type="dxa"/>
        <w:tblInd w:w="93" w:type="dxa"/>
        <w:tblLook w:val="00A0"/>
      </w:tblPr>
      <w:tblGrid>
        <w:gridCol w:w="3660"/>
        <w:gridCol w:w="1560"/>
      </w:tblGrid>
      <w:tr w:rsidR="001670EC" w:rsidRPr="00680D98" w:rsidTr="00477618">
        <w:trPr>
          <w:trHeight w:val="60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tcPr>
          <w:p w:rsidR="001670EC" w:rsidRPr="00E17846" w:rsidRDefault="001670EC" w:rsidP="00477618">
            <w:pPr>
              <w:spacing w:after="0" w:line="240" w:lineRule="auto"/>
              <w:jc w:val="center"/>
              <w:rPr>
                <w:rFonts w:cs="Calibri"/>
                <w:color w:val="000000"/>
              </w:rPr>
            </w:pPr>
            <w:r w:rsidRPr="00E17846">
              <w:rPr>
                <w:rFonts w:cs="Calibri"/>
                <w:color w:val="000000"/>
              </w:rPr>
              <w:t>Population Served</w:t>
            </w:r>
          </w:p>
        </w:tc>
        <w:tc>
          <w:tcPr>
            <w:tcW w:w="1560" w:type="dxa"/>
            <w:tcBorders>
              <w:top w:val="single" w:sz="4" w:space="0" w:color="auto"/>
              <w:left w:val="nil"/>
              <w:bottom w:val="single" w:sz="4" w:space="0" w:color="auto"/>
              <w:right w:val="single" w:sz="4" w:space="0" w:color="auto"/>
            </w:tcBorders>
            <w:shd w:val="clear" w:color="000000" w:fill="FFFFFF"/>
            <w:vAlign w:val="bottom"/>
          </w:tcPr>
          <w:p w:rsidR="001670EC" w:rsidRPr="00E17846" w:rsidRDefault="001670EC" w:rsidP="00477618">
            <w:pPr>
              <w:spacing w:after="0" w:line="240" w:lineRule="auto"/>
              <w:jc w:val="center"/>
              <w:rPr>
                <w:rFonts w:cs="Calibri"/>
                <w:color w:val="000000"/>
              </w:rPr>
            </w:pPr>
            <w:r w:rsidRPr="00E17846">
              <w:rPr>
                <w:rFonts w:cs="Calibri"/>
                <w:color w:val="000000"/>
              </w:rPr>
              <w:t>Percent of all respondents</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Children/adolescents</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59.6</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People living at or near poverty level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50.9</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Seniors/elderly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44.9</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People with disabilities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38.9</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People with mental health issues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32.3</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Women of reproductive age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31.9</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People with substance abuse issues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25.6</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Specific health condition or disease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24.6</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Farmers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14.0</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Migrant workers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11.2</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Other</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10.5</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 xml:space="preserve">Specific racial or ethnic groups </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8.4</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Specific geographic area</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5.3</w:t>
            </w:r>
          </w:p>
        </w:tc>
      </w:tr>
      <w:tr w:rsidR="001670EC" w:rsidRPr="00680D98" w:rsidTr="00477618">
        <w:trPr>
          <w:trHeight w:val="300"/>
        </w:trPr>
        <w:tc>
          <w:tcPr>
            <w:tcW w:w="36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Everyone</w:t>
            </w:r>
          </w:p>
        </w:tc>
        <w:tc>
          <w:tcPr>
            <w:tcW w:w="1560" w:type="dxa"/>
            <w:tcBorders>
              <w:top w:val="nil"/>
              <w:left w:val="nil"/>
              <w:bottom w:val="nil"/>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5.3</w:t>
            </w:r>
          </w:p>
        </w:tc>
      </w:tr>
      <w:tr w:rsidR="001670EC" w:rsidRPr="00680D98" w:rsidTr="00477618">
        <w:trPr>
          <w:trHeight w:val="300"/>
        </w:trPr>
        <w:tc>
          <w:tcPr>
            <w:tcW w:w="3660" w:type="dxa"/>
            <w:tcBorders>
              <w:top w:val="nil"/>
              <w:left w:val="nil"/>
              <w:bottom w:val="single" w:sz="4" w:space="0" w:color="auto"/>
              <w:right w:val="nil"/>
            </w:tcBorders>
            <w:shd w:val="clear" w:color="000000" w:fill="FFFFFF"/>
            <w:noWrap/>
            <w:vAlign w:val="bottom"/>
          </w:tcPr>
          <w:p w:rsidR="001670EC" w:rsidRPr="00E17846" w:rsidRDefault="001670EC" w:rsidP="00477618">
            <w:pPr>
              <w:spacing w:after="0" w:line="240" w:lineRule="auto"/>
              <w:rPr>
                <w:rFonts w:cs="Calibri"/>
                <w:color w:val="000000"/>
              </w:rPr>
            </w:pPr>
            <w:r w:rsidRPr="00E17846">
              <w:rPr>
                <w:rFonts w:cs="Calibri"/>
                <w:color w:val="000000"/>
              </w:rPr>
              <w:t>Specific age group</w:t>
            </w:r>
          </w:p>
        </w:tc>
        <w:tc>
          <w:tcPr>
            <w:tcW w:w="1560" w:type="dxa"/>
            <w:tcBorders>
              <w:top w:val="nil"/>
              <w:left w:val="nil"/>
              <w:bottom w:val="single" w:sz="4" w:space="0" w:color="auto"/>
              <w:right w:val="nil"/>
            </w:tcBorders>
            <w:shd w:val="clear" w:color="000000" w:fill="FFFFFF"/>
            <w:noWrap/>
            <w:vAlign w:val="bottom"/>
          </w:tcPr>
          <w:p w:rsidR="001670EC" w:rsidRPr="00E17846" w:rsidRDefault="001670EC" w:rsidP="00477618">
            <w:pPr>
              <w:spacing w:after="0" w:line="240" w:lineRule="auto"/>
              <w:jc w:val="right"/>
              <w:rPr>
                <w:rFonts w:cs="Calibri"/>
                <w:color w:val="000000"/>
              </w:rPr>
            </w:pPr>
            <w:r w:rsidRPr="00E17846">
              <w:rPr>
                <w:rFonts w:cs="Calibri"/>
                <w:color w:val="000000"/>
              </w:rPr>
              <w:t>3.5</w:t>
            </w:r>
          </w:p>
        </w:tc>
      </w:tr>
      <w:tr w:rsidR="001670EC" w:rsidRPr="00680D98" w:rsidTr="00477618">
        <w:trPr>
          <w:trHeight w:val="300"/>
        </w:trPr>
        <w:tc>
          <w:tcPr>
            <w:tcW w:w="5220" w:type="dxa"/>
            <w:gridSpan w:val="2"/>
            <w:tcBorders>
              <w:top w:val="nil"/>
              <w:left w:val="nil"/>
              <w:bottom w:val="nil"/>
              <w:right w:val="nil"/>
            </w:tcBorders>
            <w:noWrap/>
            <w:vAlign w:val="bottom"/>
          </w:tcPr>
          <w:p w:rsidR="001670EC" w:rsidRPr="00E17846" w:rsidRDefault="001670EC" w:rsidP="00477618">
            <w:pPr>
              <w:spacing w:after="0" w:line="240" w:lineRule="auto"/>
              <w:rPr>
                <w:rFonts w:cs="Calibri"/>
                <w:color w:val="000000"/>
                <w:sz w:val="16"/>
                <w:szCs w:val="16"/>
              </w:rPr>
            </w:pPr>
            <w:r w:rsidRPr="00E17846">
              <w:rPr>
                <w:rFonts w:cs="Calibri"/>
                <w:color w:val="000000"/>
                <w:sz w:val="16"/>
                <w:szCs w:val="16"/>
              </w:rPr>
              <w:t>Note: respondents could select multiple populations.</w:t>
            </w:r>
          </w:p>
        </w:tc>
      </w:tr>
    </w:tbl>
    <w:p w:rsidR="001670EC" w:rsidRDefault="001670EC" w:rsidP="00477618"/>
    <w:p w:rsidR="001670EC" w:rsidRDefault="001670EC" w:rsidP="00477618">
      <w:r>
        <w:t>Table A.3 shows the percent of respondents that provide services in each of the eight counties in the region.  Most respondents represent health care service providers that work in multiple counties within the region. As the table illustrates, between roughly 18 and 30 percent of all respondents work in each county, which provides a significant level of overlap in services.</w:t>
      </w:r>
    </w:p>
    <w:p w:rsidR="001670EC" w:rsidRPr="00A97802" w:rsidRDefault="001670EC" w:rsidP="00477618">
      <w:pPr>
        <w:rPr>
          <w:b/>
        </w:rPr>
      </w:pPr>
      <w:r w:rsidRPr="00A97802">
        <w:rPr>
          <w:b/>
        </w:rPr>
        <w:t xml:space="preserve">Table </w:t>
      </w:r>
      <w:r>
        <w:rPr>
          <w:b/>
        </w:rPr>
        <w:t>A.</w:t>
      </w:r>
      <w:r w:rsidRPr="00A97802">
        <w:rPr>
          <w:b/>
        </w:rPr>
        <w:t>3. Percent of respondent agencies providing service in each county in the region</w:t>
      </w:r>
    </w:p>
    <w:tbl>
      <w:tblPr>
        <w:tblW w:w="3700" w:type="dxa"/>
        <w:tblInd w:w="93" w:type="dxa"/>
        <w:tblLook w:val="00A0"/>
      </w:tblPr>
      <w:tblGrid>
        <w:gridCol w:w="2740"/>
        <w:gridCol w:w="960"/>
      </w:tblGrid>
      <w:tr w:rsidR="001670EC" w:rsidRPr="00680D98" w:rsidTr="00477618">
        <w:trPr>
          <w:trHeight w:val="300"/>
        </w:trPr>
        <w:tc>
          <w:tcPr>
            <w:tcW w:w="2740" w:type="dxa"/>
            <w:tcBorders>
              <w:top w:val="single" w:sz="4" w:space="0" w:color="auto"/>
              <w:left w:val="nil"/>
              <w:bottom w:val="single" w:sz="4" w:space="0" w:color="auto"/>
              <w:right w:val="nil"/>
            </w:tcBorders>
            <w:noWrap/>
            <w:vAlign w:val="bottom"/>
          </w:tcPr>
          <w:p w:rsidR="001670EC" w:rsidRPr="00A97802" w:rsidRDefault="001670EC" w:rsidP="00477618">
            <w:pPr>
              <w:spacing w:after="0" w:line="240" w:lineRule="auto"/>
              <w:rPr>
                <w:rFonts w:cs="Calibri"/>
                <w:color w:val="000000"/>
              </w:rPr>
            </w:pPr>
            <w:r w:rsidRPr="00A97802">
              <w:rPr>
                <w:rFonts w:cs="Calibri"/>
                <w:color w:val="000000"/>
              </w:rPr>
              <w:t>County</w:t>
            </w:r>
          </w:p>
        </w:tc>
        <w:tc>
          <w:tcPr>
            <w:tcW w:w="960" w:type="dxa"/>
            <w:tcBorders>
              <w:top w:val="single" w:sz="4" w:space="0" w:color="auto"/>
              <w:left w:val="nil"/>
              <w:bottom w:val="single" w:sz="4" w:space="0" w:color="auto"/>
              <w:right w:val="nil"/>
            </w:tcBorders>
            <w:noWrap/>
            <w:vAlign w:val="bottom"/>
          </w:tcPr>
          <w:p w:rsidR="001670EC" w:rsidRPr="00A97802" w:rsidRDefault="001670EC" w:rsidP="00477618">
            <w:pPr>
              <w:spacing w:after="0" w:line="240" w:lineRule="auto"/>
              <w:jc w:val="center"/>
              <w:rPr>
                <w:rFonts w:cs="Calibri"/>
                <w:color w:val="000000"/>
              </w:rPr>
            </w:pPr>
            <w:r w:rsidRPr="00A97802">
              <w:rPr>
                <w:rFonts w:cs="Calibri"/>
                <w:color w:val="000000"/>
              </w:rPr>
              <w:t>Percent</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Essex</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30.2</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Franklin</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29.1</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Fulton</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22.8</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Warren</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20.4</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Hamilton</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19.6</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 xml:space="preserve">Washington </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19.6</w:t>
            </w:r>
          </w:p>
        </w:tc>
      </w:tr>
      <w:tr w:rsidR="001670EC" w:rsidRPr="00680D98" w:rsidTr="00477618">
        <w:trPr>
          <w:trHeight w:val="300"/>
        </w:trPr>
        <w:tc>
          <w:tcPr>
            <w:tcW w:w="274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Clinton</w:t>
            </w:r>
          </w:p>
        </w:tc>
        <w:tc>
          <w:tcPr>
            <w:tcW w:w="960" w:type="dxa"/>
            <w:tcBorders>
              <w:top w:val="nil"/>
              <w:left w:val="nil"/>
              <w:bottom w:val="nil"/>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18.6</w:t>
            </w:r>
          </w:p>
        </w:tc>
      </w:tr>
      <w:tr w:rsidR="001670EC" w:rsidRPr="00680D98" w:rsidTr="00477618">
        <w:trPr>
          <w:trHeight w:val="300"/>
        </w:trPr>
        <w:tc>
          <w:tcPr>
            <w:tcW w:w="2740" w:type="dxa"/>
            <w:tcBorders>
              <w:top w:val="nil"/>
              <w:left w:val="nil"/>
              <w:bottom w:val="single" w:sz="4" w:space="0" w:color="auto"/>
              <w:right w:val="nil"/>
            </w:tcBorders>
            <w:noWrap/>
            <w:vAlign w:val="bottom"/>
          </w:tcPr>
          <w:p w:rsidR="001670EC" w:rsidRPr="00A97802" w:rsidRDefault="001670EC" w:rsidP="00477618">
            <w:pPr>
              <w:spacing w:after="0" w:line="240" w:lineRule="auto"/>
              <w:ind w:firstLineChars="100" w:firstLine="220"/>
              <w:rPr>
                <w:rFonts w:cs="Calibri"/>
                <w:color w:val="000000"/>
              </w:rPr>
            </w:pPr>
            <w:r w:rsidRPr="00A97802">
              <w:rPr>
                <w:rFonts w:cs="Calibri"/>
                <w:color w:val="000000"/>
              </w:rPr>
              <w:t>Saratoga</w:t>
            </w:r>
          </w:p>
        </w:tc>
        <w:tc>
          <w:tcPr>
            <w:tcW w:w="960" w:type="dxa"/>
            <w:tcBorders>
              <w:top w:val="nil"/>
              <w:left w:val="nil"/>
              <w:bottom w:val="single" w:sz="4" w:space="0" w:color="auto"/>
              <w:right w:val="nil"/>
            </w:tcBorders>
            <w:noWrap/>
            <w:vAlign w:val="bottom"/>
          </w:tcPr>
          <w:p w:rsidR="001670EC" w:rsidRPr="00A97802" w:rsidRDefault="001670EC" w:rsidP="00477618">
            <w:pPr>
              <w:spacing w:after="0" w:line="240" w:lineRule="auto"/>
              <w:ind w:firstLineChars="100" w:firstLine="220"/>
              <w:jc w:val="right"/>
              <w:rPr>
                <w:rFonts w:cs="Calibri"/>
                <w:color w:val="000000"/>
              </w:rPr>
            </w:pPr>
            <w:r w:rsidRPr="00A97802">
              <w:rPr>
                <w:rFonts w:cs="Calibri"/>
                <w:color w:val="000000"/>
              </w:rPr>
              <w:t>18.2</w:t>
            </w:r>
          </w:p>
        </w:tc>
      </w:tr>
    </w:tbl>
    <w:p w:rsidR="001670EC" w:rsidRDefault="001670EC" w:rsidP="00477618"/>
    <w:p w:rsidR="001670EC" w:rsidRPr="005B1D1A" w:rsidRDefault="001670EC" w:rsidP="00477618"/>
    <w:p w:rsidR="001670EC" w:rsidRDefault="001670EC" w:rsidP="00477618">
      <w:pPr>
        <w:pStyle w:val="Heading2"/>
      </w:pPr>
      <w:r>
        <w:br w:type="page"/>
      </w:r>
    </w:p>
    <w:p w:rsidR="001670EC" w:rsidRPr="00717039" w:rsidRDefault="001670EC" w:rsidP="00717039">
      <w:pPr>
        <w:pStyle w:val="Heading4"/>
        <w:rPr>
          <w:i w:val="0"/>
          <w:sz w:val="26"/>
          <w:szCs w:val="26"/>
        </w:rPr>
      </w:pPr>
      <w:bookmarkStart w:id="56" w:name="_Toc352672705"/>
      <w:bookmarkStart w:id="57" w:name="_Toc352673031"/>
      <w:bookmarkStart w:id="58" w:name="_Toc352677315"/>
      <w:r w:rsidRPr="00717039">
        <w:rPr>
          <w:i w:val="0"/>
          <w:sz w:val="26"/>
          <w:szCs w:val="26"/>
        </w:rPr>
        <w:t>Results</w:t>
      </w:r>
      <w:bookmarkEnd w:id="56"/>
      <w:bookmarkEnd w:id="57"/>
      <w:bookmarkEnd w:id="58"/>
    </w:p>
    <w:p w:rsidR="001670EC" w:rsidRDefault="001670EC" w:rsidP="00477618">
      <w:r>
        <w:t>The findings are presented by thematic area: health trends, prevention agenda priorities, and technology trends and regional challenges. Additionally, within the Health Prevention Priorities section the results are detailed by the five areas of the NYS Department of Health Prevention Agenda, which are as follows:</w:t>
      </w:r>
    </w:p>
    <w:p w:rsidR="001670EC" w:rsidRDefault="001670EC" w:rsidP="00521C49">
      <w:pPr>
        <w:pStyle w:val="ListParagraph"/>
        <w:numPr>
          <w:ilvl w:val="0"/>
          <w:numId w:val="3"/>
        </w:numPr>
      </w:pPr>
      <w:r w:rsidRPr="00407831">
        <w:rPr>
          <w:b/>
        </w:rPr>
        <w:t>Prevent chronic disease</w:t>
      </w:r>
      <w:r>
        <w:t>. Focus on heart disease, cancer, respiratory disease, and diabetes and the shared risk factors of diet, exercise, tobacco, alcohol, and associated obesity.</w:t>
      </w:r>
    </w:p>
    <w:p w:rsidR="001670EC" w:rsidRDefault="001670EC" w:rsidP="00521C49">
      <w:pPr>
        <w:pStyle w:val="ListParagraph"/>
        <w:numPr>
          <w:ilvl w:val="0"/>
          <w:numId w:val="3"/>
        </w:numPr>
      </w:pPr>
      <w:r w:rsidRPr="00407831">
        <w:rPr>
          <w:b/>
        </w:rPr>
        <w:t>Promote a healthy and safe environment</w:t>
      </w:r>
      <w:r>
        <w:t>. Focus on environmental quality and the physical environment where people live, work, play, and learn.</w:t>
      </w:r>
    </w:p>
    <w:p w:rsidR="001670EC" w:rsidRDefault="001670EC" w:rsidP="00521C49">
      <w:pPr>
        <w:pStyle w:val="ListParagraph"/>
        <w:numPr>
          <w:ilvl w:val="0"/>
          <w:numId w:val="3"/>
        </w:numPr>
      </w:pPr>
      <w:r w:rsidRPr="00407831">
        <w:rPr>
          <w:b/>
        </w:rPr>
        <w:t>Promote healthy women, infants, and children</w:t>
      </w:r>
      <w:r>
        <w:t>. Focus on improving the health of women and mothers, birth outcomes, and child health including oral health.</w:t>
      </w:r>
    </w:p>
    <w:p w:rsidR="001670EC" w:rsidRDefault="001670EC" w:rsidP="00521C49">
      <w:pPr>
        <w:pStyle w:val="ListParagraph"/>
        <w:numPr>
          <w:ilvl w:val="0"/>
          <w:numId w:val="3"/>
        </w:numPr>
      </w:pPr>
      <w:r w:rsidRPr="00407831">
        <w:rPr>
          <w:b/>
        </w:rPr>
        <w:t>Promote mental health and prevent substance abuse.</w:t>
      </w:r>
      <w:r>
        <w:t xml:space="preserve"> Focus on primary and secondary prevention and strategies for increasing screening to diagnose and connect people to needed services.</w:t>
      </w:r>
    </w:p>
    <w:p w:rsidR="001670EC" w:rsidRDefault="001670EC" w:rsidP="00521C49">
      <w:pPr>
        <w:pStyle w:val="ListParagraph"/>
        <w:numPr>
          <w:ilvl w:val="0"/>
          <w:numId w:val="3"/>
        </w:numPr>
      </w:pPr>
      <w:r w:rsidRPr="00407831">
        <w:rPr>
          <w:b/>
        </w:rPr>
        <w:t>Prevent HIV, STIs, and vaccinate for preventable diseases</w:t>
      </w:r>
      <w:r>
        <w:t>. Focus on preventing HIV, sexually transmitted infections, and preventable diseases via immunization.</w:t>
      </w:r>
    </w:p>
    <w:p w:rsidR="001670EC" w:rsidRDefault="001670EC" w:rsidP="00477618">
      <w:r>
        <w:t>Both quantitative and qualitative responses are summarized to present an overview of the respondents’ perceptions of health care trends, the relevance of the priorities, the magnitude of difficulty faced by the region, areas of need, and the effectiveness of current efforts.</w:t>
      </w:r>
    </w:p>
    <w:p w:rsidR="001670EC" w:rsidRDefault="001670EC" w:rsidP="00477618">
      <w:pPr>
        <w:pStyle w:val="Heading3"/>
      </w:pPr>
    </w:p>
    <w:p w:rsidR="001670EC" w:rsidRPr="004574A4" w:rsidRDefault="001670EC" w:rsidP="004574A4">
      <w:pPr>
        <w:pStyle w:val="Heading5"/>
        <w:rPr>
          <w:sz w:val="26"/>
          <w:szCs w:val="26"/>
        </w:rPr>
      </w:pPr>
      <w:bookmarkStart w:id="59" w:name="_Toc352672706"/>
      <w:bookmarkStart w:id="60" w:name="_Toc352673032"/>
      <w:bookmarkStart w:id="61" w:name="_Toc352677316"/>
      <w:r w:rsidRPr="004574A4">
        <w:rPr>
          <w:sz w:val="26"/>
          <w:szCs w:val="26"/>
        </w:rPr>
        <w:t>Emerging Health Trends</w:t>
      </w:r>
      <w:bookmarkEnd w:id="59"/>
      <w:bookmarkEnd w:id="60"/>
      <w:bookmarkEnd w:id="61"/>
    </w:p>
    <w:p w:rsidR="001670EC" w:rsidRDefault="001670EC" w:rsidP="00477618">
      <w:r>
        <w:t>Survey respondents were asked two major questions about emerging community health trends: the first was an open-ended query about the most significant trend emerging over the next three years, while the second asked respondents to identify populations that need targeted efforts to address emerging health trends. Responses to the open-ended question were examined and coded into thematic categories in order to identify general areas of growing concern in the region. Table 1 shows the percentage of those who provided a response to the question who identified a trend within each thematic area. Because many respondents identified more than one emerging trend, the percentages do not add to 100.</w:t>
      </w:r>
    </w:p>
    <w:p w:rsidR="001670EC" w:rsidRDefault="001670EC" w:rsidP="00477618">
      <w:r w:rsidRPr="00A13CC5">
        <w:rPr>
          <w:i/>
        </w:rPr>
        <w:t xml:space="preserve">By a large margin, the dominant trend emerging in the region is obesity, followed by growing substance abuse, mental health issues, and a declining availability of services and insurance coverage for community residents. </w:t>
      </w:r>
      <w:r>
        <w:t>The theme of chronic disease, which was cited by 5.4 percent of respondents, included trends of increasing cases of cancer, COPD (chronic obstructive pulmonary disease), heart disease, and other conditions that require ongoing or intensive care that is not always available in rural communities. Mentions of sexually transmitted infections (STIs) or diseases (STDs) were not dominant, despite the fact that the theme is similar to the identified NYS priority area.</w:t>
      </w:r>
    </w:p>
    <w:p w:rsidR="001670EC" w:rsidRDefault="001670EC" w:rsidP="00477618"/>
    <w:p w:rsidR="001670EC" w:rsidRDefault="001670EC" w:rsidP="00477618">
      <w:pPr>
        <w:rPr>
          <w:b/>
        </w:rPr>
      </w:pPr>
    </w:p>
    <w:p w:rsidR="001670EC" w:rsidRPr="0020374E" w:rsidRDefault="001670EC" w:rsidP="00477618">
      <w:pPr>
        <w:rPr>
          <w:b/>
        </w:rPr>
      </w:pPr>
      <w:r w:rsidRPr="0020374E">
        <w:rPr>
          <w:b/>
        </w:rPr>
        <w:t>Table 1.</w:t>
      </w:r>
      <w:r>
        <w:rPr>
          <w:b/>
        </w:rPr>
        <w:t>Percent selecting general emerging health trend</w:t>
      </w:r>
    </w:p>
    <w:tbl>
      <w:tblPr>
        <w:tblW w:w="7200" w:type="dxa"/>
        <w:tblInd w:w="93" w:type="dxa"/>
        <w:tblLook w:val="00A0"/>
      </w:tblPr>
      <w:tblGrid>
        <w:gridCol w:w="5780"/>
        <w:gridCol w:w="1420"/>
      </w:tblGrid>
      <w:tr w:rsidR="001670EC" w:rsidRPr="00680D98" w:rsidTr="00477618">
        <w:trPr>
          <w:trHeight w:val="300"/>
        </w:trPr>
        <w:tc>
          <w:tcPr>
            <w:tcW w:w="5780" w:type="dxa"/>
            <w:tcBorders>
              <w:top w:val="single" w:sz="4" w:space="0" w:color="auto"/>
              <w:left w:val="nil"/>
              <w:bottom w:val="single" w:sz="4" w:space="0" w:color="auto"/>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Theme</w:t>
            </w:r>
          </w:p>
        </w:tc>
        <w:tc>
          <w:tcPr>
            <w:tcW w:w="1420" w:type="dxa"/>
            <w:tcBorders>
              <w:top w:val="single" w:sz="4" w:space="0" w:color="auto"/>
              <w:left w:val="nil"/>
              <w:bottom w:val="single" w:sz="4" w:space="0" w:color="auto"/>
              <w:right w:val="nil"/>
            </w:tcBorders>
            <w:noWrap/>
            <w:vAlign w:val="bottom"/>
          </w:tcPr>
          <w:p w:rsidR="001670EC" w:rsidRPr="00200D7C" w:rsidRDefault="001670EC" w:rsidP="00477618">
            <w:pPr>
              <w:spacing w:after="0" w:line="240" w:lineRule="auto"/>
              <w:jc w:val="center"/>
              <w:rPr>
                <w:rFonts w:cs="Calibri"/>
                <w:color w:val="000000"/>
              </w:rPr>
            </w:pPr>
            <w:r w:rsidRPr="00200D7C">
              <w:rPr>
                <w:rFonts w:cs="Calibri"/>
                <w:color w:val="000000"/>
              </w:rPr>
              <w:t>Percent</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Growing obesity, childhood obesity, and related ailments</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25.5</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Substance abuse (alcohol, drugs, prescriptions)</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16.2</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Mental health issues</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15.8</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Lack of service availability, lack of insurance</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13.1</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Aging population / need for senior care</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10.8</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Increase in chronic diseases</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5.4</w:t>
            </w:r>
          </w:p>
        </w:tc>
      </w:tr>
      <w:tr w:rsidR="001670EC" w:rsidRPr="00680D98" w:rsidTr="00477618">
        <w:trPr>
          <w:trHeight w:val="300"/>
        </w:trPr>
        <w:tc>
          <w:tcPr>
            <w:tcW w:w="5780" w:type="dxa"/>
            <w:tcBorders>
              <w:top w:val="nil"/>
              <w:left w:val="nil"/>
              <w:bottom w:val="nil"/>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Increasing STI/STD cases in community</w:t>
            </w:r>
          </w:p>
        </w:tc>
        <w:tc>
          <w:tcPr>
            <w:tcW w:w="1420" w:type="dxa"/>
            <w:tcBorders>
              <w:top w:val="nil"/>
              <w:left w:val="nil"/>
              <w:bottom w:val="nil"/>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5.4</w:t>
            </w:r>
          </w:p>
        </w:tc>
      </w:tr>
      <w:tr w:rsidR="001670EC" w:rsidRPr="00680D98" w:rsidTr="00477618">
        <w:trPr>
          <w:trHeight w:val="300"/>
        </w:trPr>
        <w:tc>
          <w:tcPr>
            <w:tcW w:w="5780" w:type="dxa"/>
            <w:tcBorders>
              <w:top w:val="nil"/>
              <w:left w:val="nil"/>
              <w:bottom w:val="single" w:sz="4" w:space="0" w:color="auto"/>
              <w:right w:val="nil"/>
            </w:tcBorders>
            <w:noWrap/>
            <w:vAlign w:val="bottom"/>
          </w:tcPr>
          <w:p w:rsidR="001670EC" w:rsidRPr="00200D7C" w:rsidRDefault="001670EC" w:rsidP="00477618">
            <w:pPr>
              <w:spacing w:after="0" w:line="240" w:lineRule="auto"/>
              <w:rPr>
                <w:rFonts w:cs="Calibri"/>
                <w:color w:val="000000"/>
              </w:rPr>
            </w:pPr>
            <w:r w:rsidRPr="00200D7C">
              <w:rPr>
                <w:rFonts w:cs="Calibri"/>
                <w:color w:val="000000"/>
              </w:rPr>
              <w:t>Other</w:t>
            </w:r>
          </w:p>
        </w:tc>
        <w:tc>
          <w:tcPr>
            <w:tcW w:w="1420" w:type="dxa"/>
            <w:tcBorders>
              <w:top w:val="nil"/>
              <w:left w:val="nil"/>
              <w:bottom w:val="single" w:sz="4" w:space="0" w:color="auto"/>
              <w:right w:val="nil"/>
            </w:tcBorders>
            <w:noWrap/>
            <w:vAlign w:val="bottom"/>
          </w:tcPr>
          <w:p w:rsidR="001670EC" w:rsidRPr="00200D7C" w:rsidRDefault="001670EC" w:rsidP="00477618">
            <w:pPr>
              <w:spacing w:after="0" w:line="240" w:lineRule="auto"/>
              <w:jc w:val="right"/>
              <w:rPr>
                <w:rFonts w:cs="Calibri"/>
                <w:color w:val="000000"/>
              </w:rPr>
            </w:pPr>
            <w:r w:rsidRPr="00200D7C">
              <w:rPr>
                <w:rFonts w:cs="Calibri"/>
                <w:color w:val="000000"/>
              </w:rPr>
              <w:t>34.7</w:t>
            </w:r>
          </w:p>
        </w:tc>
      </w:tr>
    </w:tbl>
    <w:p w:rsidR="001670EC" w:rsidRPr="00200D7C" w:rsidRDefault="001670EC" w:rsidP="00477618">
      <w:pPr>
        <w:rPr>
          <w:sz w:val="20"/>
          <w:szCs w:val="20"/>
        </w:rPr>
      </w:pPr>
      <w:r w:rsidRPr="00200D7C">
        <w:rPr>
          <w:sz w:val="20"/>
          <w:szCs w:val="20"/>
        </w:rPr>
        <w:t>Total percentage is greater than 100 because more than one category could be identified</w:t>
      </w:r>
    </w:p>
    <w:p w:rsidR="001670EC" w:rsidRDefault="001670EC" w:rsidP="00477618">
      <w:r>
        <w:t xml:space="preserve">As shown in Table 2, many of the population groups identified as being in need of targeted efforts are reflected in the previous emerging themes. </w:t>
      </w:r>
      <w:r w:rsidRPr="00A13CC5">
        <w:rPr>
          <w:i/>
        </w:rPr>
        <w:t xml:space="preserve">Three of the top five population groups selected by respondents for targeting are: people with mental health issues, seniors/elderly, and people with substance abuse issues. </w:t>
      </w:r>
      <w:r>
        <w:t>The two groups mentioned by a majority of respondents–people living in poverty and children/adolescents–are general groups of individuals who were frequently associated with emerging health issues in the open-ended question. For example, themes were sometimes listed as growing amongst children (e.g. childhood obesity, teen drug use) or related to an increase in regional poverty. Again, because survey respondents were allowed to select more than one group of individuals to target, the cumulative percentages exceed 100.</w:t>
      </w:r>
    </w:p>
    <w:p w:rsidR="001670EC" w:rsidRPr="00537B85" w:rsidRDefault="001670EC" w:rsidP="00477618">
      <w:pPr>
        <w:rPr>
          <w:b/>
        </w:rPr>
      </w:pPr>
      <w:r w:rsidRPr="00537B85">
        <w:rPr>
          <w:b/>
        </w:rPr>
        <w:t>Table 2. Populations in need of targeted service efforts</w:t>
      </w:r>
    </w:p>
    <w:tbl>
      <w:tblPr>
        <w:tblW w:w="4880" w:type="dxa"/>
        <w:tblInd w:w="93" w:type="dxa"/>
        <w:tblLook w:val="00A0"/>
      </w:tblPr>
      <w:tblGrid>
        <w:gridCol w:w="3920"/>
        <w:gridCol w:w="1008"/>
      </w:tblGrid>
      <w:tr w:rsidR="001670EC" w:rsidRPr="00680D98" w:rsidTr="00477618">
        <w:trPr>
          <w:trHeight w:val="600"/>
        </w:trPr>
        <w:tc>
          <w:tcPr>
            <w:tcW w:w="3920" w:type="dxa"/>
            <w:tcBorders>
              <w:top w:val="single" w:sz="4" w:space="0" w:color="auto"/>
              <w:left w:val="nil"/>
              <w:bottom w:val="single" w:sz="4" w:space="0" w:color="auto"/>
              <w:right w:val="nil"/>
            </w:tcBorders>
            <w:vAlign w:val="center"/>
          </w:tcPr>
          <w:p w:rsidR="001670EC" w:rsidRPr="00537B85" w:rsidRDefault="001670EC" w:rsidP="00477618">
            <w:pPr>
              <w:spacing w:after="0" w:line="240" w:lineRule="auto"/>
              <w:jc w:val="center"/>
              <w:rPr>
                <w:rFonts w:cs="Calibri"/>
                <w:color w:val="000000"/>
              </w:rPr>
            </w:pPr>
            <w:r w:rsidRPr="00537B85">
              <w:rPr>
                <w:rFonts w:cs="Calibri"/>
                <w:color w:val="000000"/>
              </w:rPr>
              <w:t>Population group</w:t>
            </w:r>
          </w:p>
        </w:tc>
        <w:tc>
          <w:tcPr>
            <w:tcW w:w="960" w:type="dxa"/>
            <w:tcBorders>
              <w:top w:val="single" w:sz="4" w:space="0" w:color="auto"/>
              <w:left w:val="nil"/>
              <w:bottom w:val="single" w:sz="4" w:space="0" w:color="auto"/>
              <w:right w:val="nil"/>
            </w:tcBorders>
            <w:vAlign w:val="center"/>
          </w:tcPr>
          <w:p w:rsidR="001670EC" w:rsidRPr="00537B85" w:rsidRDefault="001670EC" w:rsidP="00477618">
            <w:pPr>
              <w:spacing w:after="0" w:line="240" w:lineRule="auto"/>
              <w:jc w:val="center"/>
              <w:rPr>
                <w:rFonts w:cs="Calibri"/>
                <w:color w:val="000000"/>
              </w:rPr>
            </w:pPr>
            <w:r w:rsidRPr="00537B85">
              <w:rPr>
                <w:rFonts w:cs="Calibri"/>
                <w:color w:val="000000"/>
              </w:rPr>
              <w:t>Percent selecting</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People living at or near poverty level</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56.5</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Children/adolescents</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53.7</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People with mental health issues</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42.8</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Seniors/elderly</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39.6</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People with substance abuse issues</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37.5</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People with disabilities</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27.4</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Women of reproductive age</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26.3</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Specific health condition or disease</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22.5</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Specific racial or ethnic groups</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10.5</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 xml:space="preserve">Migrant workers </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5.3</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Farmers</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3.9</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Everyone *</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3.9</w:t>
            </w:r>
          </w:p>
        </w:tc>
      </w:tr>
      <w:tr w:rsidR="001670EC" w:rsidRPr="00680D98" w:rsidTr="00477618">
        <w:trPr>
          <w:trHeight w:val="300"/>
        </w:trPr>
        <w:tc>
          <w:tcPr>
            <w:tcW w:w="3920" w:type="dxa"/>
            <w:tcBorders>
              <w:top w:val="nil"/>
              <w:left w:val="nil"/>
              <w:bottom w:val="nil"/>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Other</w:t>
            </w:r>
          </w:p>
        </w:tc>
        <w:tc>
          <w:tcPr>
            <w:tcW w:w="960" w:type="dxa"/>
            <w:tcBorders>
              <w:top w:val="nil"/>
              <w:left w:val="nil"/>
              <w:bottom w:val="nil"/>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3.9</w:t>
            </w:r>
          </w:p>
        </w:tc>
      </w:tr>
      <w:tr w:rsidR="001670EC" w:rsidRPr="00680D98" w:rsidTr="00477618">
        <w:trPr>
          <w:trHeight w:val="300"/>
        </w:trPr>
        <w:tc>
          <w:tcPr>
            <w:tcW w:w="3920" w:type="dxa"/>
            <w:tcBorders>
              <w:top w:val="nil"/>
              <w:left w:val="nil"/>
              <w:bottom w:val="single" w:sz="4" w:space="0" w:color="auto"/>
              <w:right w:val="nil"/>
            </w:tcBorders>
            <w:noWrap/>
            <w:vAlign w:val="bottom"/>
          </w:tcPr>
          <w:p w:rsidR="001670EC" w:rsidRPr="00537B85" w:rsidRDefault="001670EC" w:rsidP="00477618">
            <w:pPr>
              <w:spacing w:after="0" w:line="240" w:lineRule="auto"/>
              <w:rPr>
                <w:rFonts w:cs="Calibri"/>
                <w:color w:val="000000"/>
              </w:rPr>
            </w:pPr>
            <w:r w:rsidRPr="00537B85">
              <w:rPr>
                <w:rFonts w:cs="Calibri"/>
                <w:color w:val="000000"/>
              </w:rPr>
              <w:t>Don't know</w:t>
            </w:r>
          </w:p>
        </w:tc>
        <w:tc>
          <w:tcPr>
            <w:tcW w:w="960" w:type="dxa"/>
            <w:tcBorders>
              <w:top w:val="nil"/>
              <w:left w:val="nil"/>
              <w:bottom w:val="single" w:sz="4" w:space="0" w:color="auto"/>
              <w:right w:val="nil"/>
            </w:tcBorders>
            <w:noWrap/>
            <w:vAlign w:val="bottom"/>
          </w:tcPr>
          <w:p w:rsidR="001670EC" w:rsidRPr="00537B85" w:rsidRDefault="001670EC" w:rsidP="00477618">
            <w:pPr>
              <w:spacing w:after="0" w:line="240" w:lineRule="auto"/>
              <w:ind w:firstLineChars="100" w:firstLine="220"/>
              <w:jc w:val="right"/>
              <w:rPr>
                <w:rFonts w:cs="Calibri"/>
                <w:color w:val="000000"/>
              </w:rPr>
            </w:pPr>
            <w:r w:rsidRPr="00537B85">
              <w:rPr>
                <w:rFonts w:cs="Calibri"/>
                <w:color w:val="000000"/>
              </w:rPr>
              <w:t>1.8</w:t>
            </w:r>
          </w:p>
        </w:tc>
      </w:tr>
      <w:tr w:rsidR="001670EC" w:rsidRPr="00680D98" w:rsidTr="00477618">
        <w:trPr>
          <w:trHeight w:val="300"/>
        </w:trPr>
        <w:tc>
          <w:tcPr>
            <w:tcW w:w="4880" w:type="dxa"/>
            <w:gridSpan w:val="2"/>
            <w:tcBorders>
              <w:top w:val="single" w:sz="4" w:space="0" w:color="auto"/>
              <w:left w:val="nil"/>
              <w:bottom w:val="nil"/>
              <w:right w:val="nil"/>
            </w:tcBorders>
            <w:vAlign w:val="bottom"/>
          </w:tcPr>
          <w:p w:rsidR="001670EC" w:rsidRPr="00537B85" w:rsidRDefault="001670EC" w:rsidP="00477618">
            <w:pPr>
              <w:spacing w:after="0" w:line="240" w:lineRule="auto"/>
              <w:rPr>
                <w:rFonts w:cs="Calibri"/>
                <w:color w:val="000000"/>
              </w:rPr>
            </w:pPr>
            <w:r w:rsidRPr="00537B85">
              <w:rPr>
                <w:rFonts w:cs="Calibri"/>
                <w:color w:val="000000"/>
              </w:rPr>
              <w:t>* Dominant write-in selection under other.</w:t>
            </w:r>
          </w:p>
        </w:tc>
      </w:tr>
    </w:tbl>
    <w:p w:rsidR="001670EC" w:rsidRDefault="001670EC" w:rsidP="00477618"/>
    <w:p w:rsidR="001670EC" w:rsidRPr="004574A4" w:rsidRDefault="001670EC" w:rsidP="004574A4">
      <w:pPr>
        <w:pStyle w:val="Heading5"/>
        <w:rPr>
          <w:sz w:val="26"/>
          <w:szCs w:val="26"/>
        </w:rPr>
      </w:pPr>
      <w:bookmarkStart w:id="62" w:name="_Toc352672707"/>
      <w:bookmarkStart w:id="63" w:name="_Toc352673033"/>
      <w:bookmarkStart w:id="64" w:name="_Toc352677317"/>
      <w:r w:rsidRPr="004574A4">
        <w:rPr>
          <w:sz w:val="26"/>
          <w:szCs w:val="26"/>
        </w:rPr>
        <w:t>Health Prevention Agenda Priorities</w:t>
      </w:r>
      <w:bookmarkEnd w:id="62"/>
      <w:bookmarkEnd w:id="63"/>
      <w:bookmarkEnd w:id="64"/>
    </w:p>
    <w:p w:rsidR="001670EC" w:rsidRDefault="001670EC" w:rsidP="00477618">
      <w:r>
        <w:t>Most of the survey items focus on identifying perceptions and needs within the region related to the five priorities selected by the NYS Department of Health Prevention Agenda. This section begins with a summary of service provider perceptions on how relevant these priorities are to the needs of their community, as well as the effectiveness of current efforts to address the issue. The latter part of this section presents data specific to each priority area: the strategies being employed, the local populations in need of targeted efforts, and a summary of any unique perspectives from the field.</w:t>
      </w:r>
    </w:p>
    <w:p w:rsidR="001670EC" w:rsidRDefault="001670EC" w:rsidP="00477618">
      <w:r>
        <w:t xml:space="preserve">Respondents were queried about their awareness of the NYS Department of Health (NYSDH) Prevention Agenda.  </w:t>
      </w:r>
      <w:r w:rsidRPr="004115F4">
        <w:rPr>
          <w:i/>
        </w:rPr>
        <w:t>Slightly over half (50.9 percent) indicated that their organization was already aware that the Department of Health has a prevention agenda; 30.2 percent indicated that their organization was not aware and 18.9 percent indicated that they were not sure.</w:t>
      </w:r>
      <w:r>
        <w:t xml:space="preserve"> Those who selected “don’t know” would seem to be indicating that while the respondent was not aware of the agenda, they felt it was possible that other leaders within the organization were aware. When survey respondents were asked about their own personal knowledge of the agenda, they indicated limited overall familiarity. As shown in Chart 1, 45 percent indicated that they were not at all familiar with the agenda, while only 8.2 percent were very familiar with the agenda. Obviously, for many of the survey respondents, their first exposure to the priority agenda focus areas occurred through participation in the ARHN survey.</w:t>
      </w:r>
    </w:p>
    <w:p w:rsidR="001670EC" w:rsidRDefault="001670EC" w:rsidP="00477618">
      <w:pPr>
        <w:jc w:val="center"/>
        <w:rPr>
          <w:b/>
        </w:rPr>
      </w:pPr>
      <w:r>
        <w:rPr>
          <w:b/>
        </w:rPr>
        <w:t>Chart 1. Respondent ratings of own familiarity with the NYSDH Prevention Agenda</w:t>
      </w:r>
    </w:p>
    <w:p w:rsidR="001670EC" w:rsidRPr="005A2631" w:rsidRDefault="00B240D8" w:rsidP="00477618">
      <w:pPr>
        <w:jc w:val="center"/>
        <w:rPr>
          <w:b/>
        </w:rPr>
      </w:pPr>
      <w:r>
        <w:rPr>
          <w:noProof/>
        </w:rPr>
        <w:drawing>
          <wp:inline distT="0" distB="0" distL="0" distR="0">
            <wp:extent cx="4572000" cy="2743200"/>
            <wp:effectExtent l="0" t="0" r="0" b="0"/>
            <wp:docPr id="26"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46"/>
                    <a:srcRect l="-1779" t="-3580" r="-9657" b="-3828"/>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670EC" w:rsidRDefault="001670EC" w:rsidP="00477618">
      <w:r>
        <w:t xml:space="preserve">The ratings of priority area relevance should reflect both the unique needs of the respondent’s region (which may vary from NYS as a whole) and the mix of service providers who completed the survey. Respondents were asked to rank order the five priorities from most to least important. Interestingly, the results shown in Table 3 indicate a slightly different perspective in priorities than was revealed by the earlier write-in question about emerging health trends. </w:t>
      </w:r>
      <w:r>
        <w:rPr>
          <w:i/>
        </w:rPr>
        <w:t>T</w:t>
      </w:r>
      <w:r w:rsidRPr="004115F4">
        <w:rPr>
          <w:i/>
        </w:rPr>
        <w:t xml:space="preserve">he “prevent chronic disease” priority area </w:t>
      </w:r>
      <w:r>
        <w:rPr>
          <w:i/>
        </w:rPr>
        <w:t>w</w:t>
      </w:r>
      <w:r w:rsidRPr="004115F4">
        <w:rPr>
          <w:i/>
        </w:rPr>
        <w:t xml:space="preserve">as </w:t>
      </w:r>
      <w:r>
        <w:rPr>
          <w:i/>
        </w:rPr>
        <w:t xml:space="preserve">identified as </w:t>
      </w:r>
      <w:r w:rsidRPr="004115F4">
        <w:rPr>
          <w:i/>
        </w:rPr>
        <w:t>the most important for the region, with nearly 40 percent selecting the priority as most important and approximately 19 percent selecting it as the second most important</w:t>
      </w:r>
      <w:r>
        <w:t>. The health priority area involving the “promotion of mental health” and the “prevention of substance abuse” was ranked most important by the second largest portion of respondents, 22.5 percent, and also was selected as the least important priority area by the smallest share of survey-takers, only 3.5 percent. At the other end of the spectrum, the priority area of “preventing STIs and promoting vaccines” was selected as most important by only 4.2 percent of respondents and selected as least important to the region by a majority of respondents, 62.3 percent.</w:t>
      </w:r>
    </w:p>
    <w:p w:rsidR="001670EC" w:rsidRPr="00A74FF4" w:rsidRDefault="001670EC" w:rsidP="00477618">
      <w:pPr>
        <w:rPr>
          <w:b/>
        </w:rPr>
      </w:pPr>
      <w:r w:rsidRPr="00A74FF4">
        <w:rPr>
          <w:b/>
        </w:rPr>
        <w:t>Table 3.</w:t>
      </w:r>
      <w:r>
        <w:rPr>
          <w:b/>
        </w:rPr>
        <w:t>P</w:t>
      </w:r>
      <w:r w:rsidRPr="00A74FF4">
        <w:rPr>
          <w:b/>
        </w:rPr>
        <w:t>riority areas by percent of respondents selecting ranking</w:t>
      </w:r>
      <w:r>
        <w:rPr>
          <w:b/>
        </w:rPr>
        <w:t xml:space="preserve"> of importance to the region</w:t>
      </w:r>
    </w:p>
    <w:tbl>
      <w:tblPr>
        <w:tblW w:w="9440" w:type="dxa"/>
        <w:tblInd w:w="93" w:type="dxa"/>
        <w:tblLook w:val="00A0"/>
      </w:tblPr>
      <w:tblGrid>
        <w:gridCol w:w="4740"/>
        <w:gridCol w:w="940"/>
        <w:gridCol w:w="940"/>
        <w:gridCol w:w="940"/>
        <w:gridCol w:w="940"/>
        <w:gridCol w:w="940"/>
      </w:tblGrid>
      <w:tr w:rsidR="001670EC" w:rsidRPr="00680D98" w:rsidTr="00477618">
        <w:trPr>
          <w:trHeight w:val="300"/>
        </w:trPr>
        <w:tc>
          <w:tcPr>
            <w:tcW w:w="4740" w:type="dxa"/>
            <w:tcBorders>
              <w:top w:val="single" w:sz="4" w:space="0" w:color="auto"/>
              <w:left w:val="nil"/>
              <w:bottom w:val="nil"/>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 </w:t>
            </w:r>
          </w:p>
        </w:tc>
        <w:tc>
          <w:tcPr>
            <w:tcW w:w="4700" w:type="dxa"/>
            <w:gridSpan w:val="5"/>
            <w:tcBorders>
              <w:top w:val="single" w:sz="4" w:space="0" w:color="auto"/>
              <w:left w:val="nil"/>
              <w:bottom w:val="nil"/>
              <w:right w:val="nil"/>
            </w:tcBorders>
            <w:noWrap/>
            <w:vAlign w:val="bottom"/>
          </w:tcPr>
          <w:p w:rsidR="001670EC" w:rsidRPr="00A74FF4" w:rsidRDefault="001670EC" w:rsidP="00477618">
            <w:pPr>
              <w:spacing w:after="0" w:line="240" w:lineRule="auto"/>
              <w:jc w:val="center"/>
              <w:rPr>
                <w:rFonts w:cs="Calibri"/>
                <w:color w:val="000000"/>
              </w:rPr>
            </w:pPr>
            <w:r>
              <w:rPr>
                <w:rFonts w:cs="Calibri"/>
                <w:color w:val="000000"/>
              </w:rPr>
              <w:t>Importance</w:t>
            </w:r>
            <w:r w:rsidRPr="00A74FF4">
              <w:rPr>
                <w:rFonts w:cs="Calibri"/>
                <w:color w:val="000000"/>
              </w:rPr>
              <w:t xml:space="preserve"> ranking</w:t>
            </w:r>
          </w:p>
        </w:tc>
      </w:tr>
      <w:tr w:rsidR="001670EC" w:rsidRPr="00680D98" w:rsidTr="00477618">
        <w:trPr>
          <w:trHeight w:val="300"/>
        </w:trPr>
        <w:tc>
          <w:tcPr>
            <w:tcW w:w="4740" w:type="dxa"/>
            <w:tcBorders>
              <w:top w:val="nil"/>
              <w:left w:val="nil"/>
              <w:bottom w:val="single" w:sz="4" w:space="0" w:color="auto"/>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 </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jc w:val="center"/>
              <w:rPr>
                <w:rFonts w:cs="Calibri"/>
                <w:color w:val="000000"/>
              </w:rPr>
            </w:pPr>
            <w:r w:rsidRPr="00A74FF4">
              <w:rPr>
                <w:rFonts w:cs="Calibri"/>
                <w:color w:val="000000"/>
              </w:rPr>
              <w:t>Most</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jc w:val="center"/>
              <w:rPr>
                <w:rFonts w:cs="Calibri"/>
                <w:color w:val="000000"/>
              </w:rPr>
            </w:pPr>
            <w:r w:rsidRPr="00A74FF4">
              <w:rPr>
                <w:rFonts w:cs="Calibri"/>
                <w:color w:val="000000"/>
              </w:rPr>
              <w:t xml:space="preserve">2nd </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jc w:val="center"/>
              <w:rPr>
                <w:rFonts w:cs="Calibri"/>
                <w:color w:val="000000"/>
              </w:rPr>
            </w:pPr>
            <w:r w:rsidRPr="00A74FF4">
              <w:rPr>
                <w:rFonts w:cs="Calibri"/>
                <w:color w:val="000000"/>
              </w:rPr>
              <w:t>3rd</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jc w:val="center"/>
              <w:rPr>
                <w:rFonts w:cs="Calibri"/>
                <w:color w:val="000000"/>
              </w:rPr>
            </w:pPr>
            <w:r w:rsidRPr="00A74FF4">
              <w:rPr>
                <w:rFonts w:cs="Calibri"/>
                <w:color w:val="000000"/>
              </w:rPr>
              <w:t xml:space="preserve">4th </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jc w:val="center"/>
              <w:rPr>
                <w:rFonts w:cs="Calibri"/>
                <w:color w:val="000000"/>
              </w:rPr>
            </w:pPr>
            <w:r w:rsidRPr="00A74FF4">
              <w:rPr>
                <w:rFonts w:cs="Calibri"/>
                <w:color w:val="000000"/>
              </w:rPr>
              <w:t xml:space="preserve">5th </w:t>
            </w:r>
          </w:p>
        </w:tc>
      </w:tr>
      <w:tr w:rsidR="001670EC" w:rsidRPr="00680D98" w:rsidTr="00477618">
        <w:trPr>
          <w:trHeight w:val="300"/>
        </w:trPr>
        <w:tc>
          <w:tcPr>
            <w:tcW w:w="4740" w:type="dxa"/>
            <w:tcBorders>
              <w:top w:val="nil"/>
              <w:left w:val="nil"/>
              <w:bottom w:val="nil"/>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Prevent chronic disease</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39.7</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19.2</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13.2</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16.7</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10.9</w:t>
            </w:r>
          </w:p>
        </w:tc>
      </w:tr>
      <w:tr w:rsidR="001670EC" w:rsidRPr="00680D98" w:rsidTr="00477618">
        <w:trPr>
          <w:trHeight w:val="300"/>
        </w:trPr>
        <w:tc>
          <w:tcPr>
            <w:tcW w:w="4740" w:type="dxa"/>
            <w:tcBorders>
              <w:top w:val="nil"/>
              <w:left w:val="nil"/>
              <w:bottom w:val="nil"/>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Promote mental health; prevent substance abuse</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22.5</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23.1</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24.5</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26.4</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3.5</w:t>
            </w:r>
          </w:p>
        </w:tc>
      </w:tr>
      <w:tr w:rsidR="001670EC" w:rsidRPr="00680D98" w:rsidTr="00477618">
        <w:trPr>
          <w:trHeight w:val="300"/>
        </w:trPr>
        <w:tc>
          <w:tcPr>
            <w:tcW w:w="4740" w:type="dxa"/>
            <w:tcBorders>
              <w:top w:val="nil"/>
              <w:left w:val="nil"/>
              <w:bottom w:val="nil"/>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Promote healthy, safe environment</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22.1</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22.7</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21.4</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17.1</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16.7</w:t>
            </w:r>
          </w:p>
        </w:tc>
      </w:tr>
      <w:tr w:rsidR="001670EC" w:rsidRPr="00680D98" w:rsidTr="00477618">
        <w:trPr>
          <w:trHeight w:val="300"/>
        </w:trPr>
        <w:tc>
          <w:tcPr>
            <w:tcW w:w="4740" w:type="dxa"/>
            <w:tcBorders>
              <w:top w:val="nil"/>
              <w:left w:val="nil"/>
              <w:bottom w:val="nil"/>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Promote healthy women &amp; children</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11.5</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31.5</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34.2</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16.7</w:t>
            </w:r>
          </w:p>
        </w:tc>
        <w:tc>
          <w:tcPr>
            <w:tcW w:w="940" w:type="dxa"/>
            <w:tcBorders>
              <w:top w:val="nil"/>
              <w:left w:val="nil"/>
              <w:bottom w:val="nil"/>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6.6</w:t>
            </w:r>
          </w:p>
        </w:tc>
      </w:tr>
      <w:tr w:rsidR="001670EC" w:rsidRPr="00680D98" w:rsidTr="00477618">
        <w:trPr>
          <w:trHeight w:val="300"/>
        </w:trPr>
        <w:tc>
          <w:tcPr>
            <w:tcW w:w="4740" w:type="dxa"/>
            <w:tcBorders>
              <w:top w:val="nil"/>
              <w:left w:val="nil"/>
              <w:bottom w:val="single" w:sz="4" w:space="0" w:color="auto"/>
              <w:right w:val="nil"/>
            </w:tcBorders>
            <w:noWrap/>
            <w:vAlign w:val="bottom"/>
          </w:tcPr>
          <w:p w:rsidR="001670EC" w:rsidRPr="00A74FF4" w:rsidRDefault="001670EC" w:rsidP="00477618">
            <w:pPr>
              <w:spacing w:after="0" w:line="240" w:lineRule="auto"/>
              <w:rPr>
                <w:rFonts w:cs="Calibri"/>
                <w:color w:val="000000"/>
              </w:rPr>
            </w:pPr>
            <w:r w:rsidRPr="00A74FF4">
              <w:rPr>
                <w:rFonts w:cs="Calibri"/>
                <w:color w:val="000000"/>
              </w:rPr>
              <w:t>Prevent HIV/STIs; promote vaccines</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4.2</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3.5</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6.6</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23.3</w:t>
            </w:r>
          </w:p>
        </w:tc>
        <w:tc>
          <w:tcPr>
            <w:tcW w:w="940" w:type="dxa"/>
            <w:tcBorders>
              <w:top w:val="nil"/>
              <w:left w:val="nil"/>
              <w:bottom w:val="single" w:sz="4" w:space="0" w:color="auto"/>
              <w:right w:val="nil"/>
            </w:tcBorders>
            <w:noWrap/>
            <w:vAlign w:val="bottom"/>
          </w:tcPr>
          <w:p w:rsidR="001670EC" w:rsidRPr="00A74FF4" w:rsidRDefault="001670EC" w:rsidP="00477618">
            <w:pPr>
              <w:spacing w:after="0" w:line="240" w:lineRule="auto"/>
              <w:ind w:firstLineChars="100" w:firstLine="220"/>
              <w:jc w:val="right"/>
              <w:rPr>
                <w:rFonts w:cs="Calibri"/>
                <w:color w:val="000000"/>
              </w:rPr>
            </w:pPr>
            <w:r w:rsidRPr="00A74FF4">
              <w:rPr>
                <w:rFonts w:cs="Calibri"/>
                <w:color w:val="000000"/>
              </w:rPr>
              <w:t>62.3</w:t>
            </w:r>
          </w:p>
        </w:tc>
      </w:tr>
    </w:tbl>
    <w:p w:rsidR="001670EC" w:rsidRDefault="001670EC" w:rsidP="00477618"/>
    <w:p w:rsidR="001670EC" w:rsidRDefault="001670EC" w:rsidP="00477618">
      <w:r>
        <w:t xml:space="preserve">In addition to ranking the importance of the five major NYS priority categories, respondents were also asked to select up to five specific issues most important to their service area. Although the option to select up to five areas of importance, along with the opportunity to write-in another option, allowed for a liberal interpretation of the “most important” issues, there was a clear division between the issues. The issues most frequently selected by respondents are shown in Table 4. </w:t>
      </w:r>
    </w:p>
    <w:p w:rsidR="001670EC" w:rsidRDefault="001670EC" w:rsidP="00477618">
      <w:r w:rsidRPr="008D538C">
        <w:rPr>
          <w:i/>
        </w:rPr>
        <w:t>The issues that were identified as most important or most relevant as selected by around half of all survey respondents were: promoting a healthy and safe environment, preventing diabetes, prevention of substance abuse, and mental health screening</w:t>
      </w:r>
      <w:r>
        <w:t>. Once again, although the ordering was not entirely consistent with the findings from previous survey questions regarding regional priority areas, there were commonalities in the presence of the issues of “preventing diabetes” (a chronic condition), “prevention of substance abuse,” “mental health screening,” and the “promotion of a safe and healthy environment.” Additionally, “preventing HIV and STIs” was once again ranked relatively low, with only 4.9 percent selecting the issue as among the most important.</w:t>
      </w:r>
    </w:p>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Pr="00312FE0" w:rsidRDefault="001670EC" w:rsidP="00477618">
      <w:pPr>
        <w:rPr>
          <w:b/>
        </w:rPr>
      </w:pPr>
      <w:r w:rsidRPr="00312FE0">
        <w:rPr>
          <w:b/>
        </w:rPr>
        <w:t>Table 4. Percent selecting specific issues as most important or relevant to their service area</w:t>
      </w:r>
    </w:p>
    <w:tbl>
      <w:tblPr>
        <w:tblW w:w="6440" w:type="dxa"/>
        <w:tblInd w:w="93" w:type="dxa"/>
        <w:tblLook w:val="00A0"/>
      </w:tblPr>
      <w:tblGrid>
        <w:gridCol w:w="5400"/>
        <w:gridCol w:w="1040"/>
      </w:tblGrid>
      <w:tr w:rsidR="001670EC" w:rsidRPr="00680D98" w:rsidTr="00477618">
        <w:trPr>
          <w:trHeight w:val="900"/>
        </w:trPr>
        <w:tc>
          <w:tcPr>
            <w:tcW w:w="5400" w:type="dxa"/>
            <w:tcBorders>
              <w:top w:val="single" w:sz="4" w:space="0" w:color="auto"/>
              <w:left w:val="nil"/>
              <w:bottom w:val="single" w:sz="4" w:space="0" w:color="auto"/>
              <w:right w:val="nil"/>
            </w:tcBorders>
            <w:vAlign w:val="center"/>
          </w:tcPr>
          <w:p w:rsidR="001670EC" w:rsidRPr="00312FE0" w:rsidRDefault="001670EC" w:rsidP="00477618">
            <w:pPr>
              <w:spacing w:after="0" w:line="240" w:lineRule="auto"/>
              <w:jc w:val="center"/>
              <w:rPr>
                <w:rFonts w:cs="Calibri"/>
                <w:color w:val="000000"/>
              </w:rPr>
            </w:pPr>
            <w:r w:rsidRPr="00312FE0">
              <w:rPr>
                <w:rFonts w:cs="Calibri"/>
                <w:color w:val="000000"/>
              </w:rPr>
              <w:t>Issue</w:t>
            </w:r>
          </w:p>
        </w:tc>
        <w:tc>
          <w:tcPr>
            <w:tcW w:w="1040" w:type="dxa"/>
            <w:tcBorders>
              <w:top w:val="single" w:sz="4" w:space="0" w:color="auto"/>
              <w:left w:val="nil"/>
              <w:bottom w:val="single" w:sz="4" w:space="0" w:color="auto"/>
              <w:right w:val="nil"/>
            </w:tcBorders>
            <w:vAlign w:val="center"/>
          </w:tcPr>
          <w:p w:rsidR="001670EC" w:rsidRPr="00312FE0" w:rsidRDefault="001670EC" w:rsidP="00477618">
            <w:pPr>
              <w:spacing w:after="0" w:line="240" w:lineRule="auto"/>
              <w:jc w:val="center"/>
              <w:rPr>
                <w:rFonts w:cs="Calibri"/>
                <w:color w:val="000000"/>
              </w:rPr>
            </w:pPr>
            <w:r w:rsidRPr="00312FE0">
              <w:rPr>
                <w:rFonts w:cs="Calibri"/>
                <w:color w:val="000000"/>
              </w:rPr>
              <w:t>Percent selecting issue</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Promoting a healthy &amp; safe physical environment</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50.9</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 xml:space="preserve">Preventing diabetes </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48.4</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Prevention of substance abuse</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44.9</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Mental health screening &amp; connection services</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44.9</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 xml:space="preserve">Preventing heart disease  </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39.3</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Improving child health</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37.9</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Improving the health of women &amp; mothers</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33.0</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 xml:space="preserve">Preventing cancer         </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31.9</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 xml:space="preserve">Preventing respiratory disease    </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28.1</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Immunizing against preventable diseases</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23.2</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 xml:space="preserve">Promoting environmental quality     </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21.4</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 xml:space="preserve">Improving birth outcomes    </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12.6</w:t>
            </w:r>
          </w:p>
        </w:tc>
      </w:tr>
      <w:tr w:rsidR="001670EC" w:rsidRPr="00680D98" w:rsidTr="00477618">
        <w:trPr>
          <w:trHeight w:val="300"/>
        </w:trPr>
        <w:tc>
          <w:tcPr>
            <w:tcW w:w="5400" w:type="dxa"/>
            <w:tcBorders>
              <w:top w:val="nil"/>
              <w:left w:val="nil"/>
              <w:bottom w:val="nil"/>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Preventing HIV &amp; STIs</w:t>
            </w:r>
          </w:p>
        </w:tc>
        <w:tc>
          <w:tcPr>
            <w:tcW w:w="1040" w:type="dxa"/>
            <w:tcBorders>
              <w:top w:val="nil"/>
              <w:left w:val="nil"/>
              <w:bottom w:val="nil"/>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12.3</w:t>
            </w:r>
          </w:p>
        </w:tc>
      </w:tr>
      <w:tr w:rsidR="001670EC" w:rsidRPr="00680D98" w:rsidTr="00477618">
        <w:trPr>
          <w:trHeight w:val="300"/>
        </w:trPr>
        <w:tc>
          <w:tcPr>
            <w:tcW w:w="5400" w:type="dxa"/>
            <w:tcBorders>
              <w:top w:val="nil"/>
              <w:left w:val="nil"/>
              <w:bottom w:val="single" w:sz="4" w:space="0" w:color="auto"/>
              <w:right w:val="nil"/>
            </w:tcBorders>
            <w:noWrap/>
            <w:vAlign w:val="bottom"/>
          </w:tcPr>
          <w:p w:rsidR="001670EC" w:rsidRPr="00312FE0" w:rsidRDefault="001670EC" w:rsidP="00477618">
            <w:pPr>
              <w:spacing w:after="0" w:line="240" w:lineRule="auto"/>
              <w:rPr>
                <w:rFonts w:cs="Calibri"/>
                <w:color w:val="000000"/>
              </w:rPr>
            </w:pPr>
            <w:r w:rsidRPr="00312FE0">
              <w:rPr>
                <w:rFonts w:cs="Calibri"/>
                <w:color w:val="000000"/>
              </w:rPr>
              <w:t>Other</w:t>
            </w:r>
          </w:p>
        </w:tc>
        <w:tc>
          <w:tcPr>
            <w:tcW w:w="1040" w:type="dxa"/>
            <w:tcBorders>
              <w:top w:val="nil"/>
              <w:left w:val="nil"/>
              <w:bottom w:val="single" w:sz="4" w:space="0" w:color="auto"/>
              <w:right w:val="nil"/>
            </w:tcBorders>
            <w:noWrap/>
            <w:vAlign w:val="bottom"/>
          </w:tcPr>
          <w:p w:rsidR="001670EC" w:rsidRPr="00312FE0" w:rsidRDefault="001670EC" w:rsidP="00477618">
            <w:pPr>
              <w:spacing w:after="0" w:line="240" w:lineRule="auto"/>
              <w:ind w:firstLineChars="100" w:firstLine="220"/>
              <w:jc w:val="right"/>
              <w:rPr>
                <w:rFonts w:cs="Calibri"/>
                <w:color w:val="000000"/>
              </w:rPr>
            </w:pPr>
            <w:r w:rsidRPr="00312FE0">
              <w:rPr>
                <w:rFonts w:cs="Calibri"/>
                <w:color w:val="000000"/>
              </w:rPr>
              <w:t>4.9</w:t>
            </w:r>
          </w:p>
        </w:tc>
      </w:tr>
    </w:tbl>
    <w:p w:rsidR="001670EC" w:rsidRDefault="001670EC" w:rsidP="00477618"/>
    <w:p w:rsidR="001670EC" w:rsidRDefault="001670EC" w:rsidP="00477618">
      <w:r>
        <w:t>Another way of gauging the relevance of the five priority areas to the region is whether or not health agencies and service providers are already involved in efforts to improve related conditions within their own service areas. Survey respondents were asked about agency involvement in issues relating to the priority areas. Additionally, for each priority area, survey respondents were also asked whether or not their agency would be interested in collaborating on efforts to address the issue if it was selected as a priority community health issue for the Adirondack region. A summary of the results is presented in Chart 2 and Chart 3.</w:t>
      </w:r>
    </w:p>
    <w:p w:rsidR="001670EC" w:rsidRDefault="001670EC" w:rsidP="00477618">
      <w:r w:rsidRPr="008D538C">
        <w:rPr>
          <w:i/>
        </w:rPr>
        <w:t>Agency involvement was highest for efforts to address the health of women and children, followed by efforts to prevent chronic disease, and efforts to promote a healthy and safe environment in the community</w:t>
      </w:r>
      <w:r w:rsidRPr="00C36C1D">
        <w:t xml:space="preserve"> (Chart 2).</w:t>
      </w:r>
      <w:r>
        <w:t xml:space="preserve"> Involvement was least prevalent in efforts to prevent HIV, STIs and vaccine-preventable diseases, which only 37.1 percent of survey respondents indicated was an area of activity for their agency. For the priority area of promoting mental health and preventing substance abuse, the level of involvement was in the middle; 56.2 percent of respondents worked for agencies involved in mental health promotion efforts and a somewhat smaller portion were involved in substance abuse prevention efforts.</w:t>
      </w:r>
    </w:p>
    <w:p w:rsidR="001670EC" w:rsidRDefault="001670EC" w:rsidP="00477618">
      <w:r w:rsidRPr="008D538C">
        <w:rPr>
          <w:i/>
        </w:rPr>
        <w:t>A majority of survey respondents indicated that their agency would be interested in collaborating to address most priority area issues if it was selected as a priority within the region</w:t>
      </w:r>
      <w:r>
        <w:t xml:space="preserve"> (Chart 3). The exception was the prevention of HIV, STIs, and vaccine preventable diseases, which only 43.2 percent of respondents indicated would be an issue their agency would be willing to collaborate on. This suggests that HIV, STI, and vaccine preventable disease efforts are either an area of low interest for the region’s health care and service providers or that many feel they do not have the capacity or expertise to be involved in the issue. The lack of interest neatly corresponds with the limited current involvement with the issue that was illustrated in Chart 2.</w:t>
      </w:r>
    </w:p>
    <w:p w:rsidR="001670EC" w:rsidRPr="00CB766F" w:rsidRDefault="001670EC" w:rsidP="00477618">
      <w:pPr>
        <w:jc w:val="center"/>
        <w:rPr>
          <w:b/>
        </w:rPr>
      </w:pPr>
      <w:r w:rsidRPr="00CB766F">
        <w:rPr>
          <w:b/>
        </w:rPr>
        <w:t xml:space="preserve">Chart </w:t>
      </w:r>
      <w:r>
        <w:rPr>
          <w:b/>
        </w:rPr>
        <w:t>2</w:t>
      </w:r>
      <w:r w:rsidRPr="00CB766F">
        <w:rPr>
          <w:b/>
        </w:rPr>
        <w:t>.</w:t>
      </w:r>
      <w:r>
        <w:rPr>
          <w:b/>
        </w:rPr>
        <w:t>Percentindicating agency currently involved with</w:t>
      </w:r>
      <w:r w:rsidRPr="00CB766F">
        <w:rPr>
          <w:b/>
        </w:rPr>
        <w:t xml:space="preserve"> issue</w:t>
      </w:r>
    </w:p>
    <w:p w:rsidR="001670EC" w:rsidRDefault="00B240D8" w:rsidP="00477618">
      <w:pPr>
        <w:jc w:val="center"/>
      </w:pPr>
      <w:r>
        <w:rPr>
          <w:noProof/>
        </w:rPr>
        <w:drawing>
          <wp:inline distT="0" distB="0" distL="0" distR="0">
            <wp:extent cx="4387215" cy="2743200"/>
            <wp:effectExtent l="0" t="0" r="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670EC" w:rsidRPr="00787973" w:rsidRDefault="001670EC" w:rsidP="00477618">
      <w:pPr>
        <w:jc w:val="center"/>
        <w:rPr>
          <w:b/>
        </w:rPr>
      </w:pPr>
      <w:r>
        <w:rPr>
          <w:b/>
        </w:rPr>
        <w:t>Chart 3. Percent interested in collaborating if issue is selected as a priority for the region</w:t>
      </w:r>
    </w:p>
    <w:p w:rsidR="001670EC" w:rsidRDefault="00B240D8" w:rsidP="00477618">
      <w:pPr>
        <w:jc w:val="center"/>
      </w:pPr>
      <w:r>
        <w:rPr>
          <w:noProof/>
        </w:rPr>
        <w:drawing>
          <wp:inline distT="0" distB="0" distL="0" distR="0">
            <wp:extent cx="4572000" cy="2503805"/>
            <wp:effectExtent l="0" t="0" r="0" b="0"/>
            <wp:docPr id="28"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48"/>
                    <a:srcRect l="-1546" t="-3825" r="-3500" b="-4994"/>
                    <a:stretch>
                      <a:fillRect/>
                    </a:stretch>
                  </pic:blipFill>
                  <pic:spPr bwMode="auto">
                    <a:xfrm>
                      <a:off x="0" y="0"/>
                      <a:ext cx="4572000" cy="2503805"/>
                    </a:xfrm>
                    <a:prstGeom prst="rect">
                      <a:avLst/>
                    </a:prstGeom>
                    <a:noFill/>
                    <a:ln w="9525">
                      <a:noFill/>
                      <a:miter lim="800000"/>
                      <a:headEnd/>
                      <a:tailEnd/>
                    </a:ln>
                  </pic:spPr>
                </pic:pic>
              </a:graphicData>
            </a:graphic>
          </wp:inline>
        </w:drawing>
      </w:r>
    </w:p>
    <w:p w:rsidR="001670EC" w:rsidRPr="004574A4" w:rsidRDefault="001670EC" w:rsidP="004574A4">
      <w:pPr>
        <w:pStyle w:val="Heading5"/>
        <w:rPr>
          <w:sz w:val="26"/>
          <w:szCs w:val="26"/>
        </w:rPr>
      </w:pPr>
      <w:bookmarkStart w:id="65" w:name="_Toc352672708"/>
      <w:bookmarkStart w:id="66" w:name="_Toc352673034"/>
      <w:bookmarkStart w:id="67" w:name="_Toc352677318"/>
      <w:r w:rsidRPr="004574A4">
        <w:rPr>
          <w:sz w:val="26"/>
          <w:szCs w:val="26"/>
        </w:rPr>
        <w:t>Priority Area Strategies and Effectiveness</w:t>
      </w:r>
      <w:bookmarkEnd w:id="65"/>
      <w:bookmarkEnd w:id="66"/>
      <w:bookmarkEnd w:id="67"/>
    </w:p>
    <w:p w:rsidR="001670EC" w:rsidRDefault="001670EC" w:rsidP="00477618">
      <w:r>
        <w:t>This section of the report details survey responses that are specific to each of the five different priority areas. While the previous section summarizes relative importance, involvement, and level of community need across the priority areas, this section focuses on how health agencies and other service providers have been addressing issues related to the priority areas, the perceived effectiveness of existing efforts at their own and other agencies, and the level of interest in becoming involved with collaborating on future efforts.</w:t>
      </w:r>
    </w:p>
    <w:p w:rsidR="001670EC" w:rsidRDefault="001670EC" w:rsidP="00477618">
      <w:pPr>
        <w:pStyle w:val="Heading4"/>
      </w:pPr>
      <w:bookmarkStart w:id="68" w:name="_Toc352677319"/>
      <w:r>
        <w:t>Area 1: Prevent chronic disease</w:t>
      </w:r>
      <w:bookmarkEnd w:id="68"/>
    </w:p>
    <w:p w:rsidR="001670EC" w:rsidRDefault="001670EC" w:rsidP="00477618">
      <w:r w:rsidRPr="008D538C">
        <w:t>As shown earlier, a large portion of survey respondents believe that prevention of chronic disease is the most important and relevant priority area for the region</w:t>
      </w:r>
      <w:r>
        <w:t xml:space="preserve"> (Table 3). This high prioritization may be related to the severity of chronic disease as a problem in the region. Chart 4 illustrates how respondents view the severity of the problem of chronic disease. </w:t>
      </w:r>
      <w:r w:rsidRPr="008D538C">
        <w:rPr>
          <w:i/>
        </w:rPr>
        <w:t xml:space="preserve">More than half indicated that the problem of chronic disease is either “very serious” or “extremely serious” while </w:t>
      </w:r>
      <w:r>
        <w:rPr>
          <w:i/>
        </w:rPr>
        <w:t xml:space="preserve">only </w:t>
      </w:r>
      <w:r w:rsidRPr="008D538C">
        <w:rPr>
          <w:i/>
        </w:rPr>
        <w:t>0.4 percent indicated that chronic disease is not a problem</w:t>
      </w:r>
      <w:r>
        <w:t>. These ratings suggest that chronic disease is a more severe problem than the issues associated with the four other priority areas.</w:t>
      </w:r>
    </w:p>
    <w:p w:rsidR="001670EC" w:rsidRDefault="001670EC" w:rsidP="00477618">
      <w:pPr>
        <w:jc w:val="center"/>
        <w:rPr>
          <w:b/>
        </w:rPr>
      </w:pPr>
      <w:r>
        <w:rPr>
          <w:b/>
        </w:rPr>
        <w:t>Chart 4. Rating of severity of chronic disease as a problem by share of respondents</w:t>
      </w:r>
    </w:p>
    <w:p w:rsidR="001670EC" w:rsidRPr="00F624EA" w:rsidRDefault="00B240D8" w:rsidP="00477618">
      <w:pPr>
        <w:jc w:val="center"/>
        <w:rPr>
          <w:b/>
        </w:rPr>
      </w:pPr>
      <w:r>
        <w:rPr>
          <w:noProof/>
        </w:rPr>
        <w:drawing>
          <wp:inline distT="0" distB="0" distL="0" distR="0">
            <wp:extent cx="4572000" cy="2743200"/>
            <wp:effectExtent l="0" t="0" r="0" b="0"/>
            <wp:docPr id="2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670EC" w:rsidRDefault="001670EC" w:rsidP="00477618"/>
    <w:p w:rsidR="001670EC" w:rsidRDefault="001670EC" w:rsidP="00477618">
      <w:r w:rsidRPr="008D538C">
        <w:rPr>
          <w:i/>
        </w:rPr>
        <w:t>One concern may be that effective programs to target chronic disease are limited in the region</w:t>
      </w:r>
      <w:r>
        <w:t>. None of the survey respondents indicated that existing efforts were extremely effective and only 3.7 percent rated them as very effective (Chart 5). Additionally, approximately 30 percent indicated that they did not know about the effectiveness of any area programs, which suggests that they may be limited in visibility or even absent from some parts of the region. Among those that provided statements on how these efforts might be improved, education and awareness were the most common themes, though many also noted that reducing chronic disease would require lifestyle changes, which would neither be easy nor quick to accomplish. It was also mentioned that growing poverty and shrinking budgets for programs targeting prevention were already hampering efforts to address problems like diabetes and obesity. When asked who should be targeted by efforts to address chronic disease, the majority identified persons living at or near poverty level, followed by senior citizens.</w:t>
      </w:r>
    </w:p>
    <w:p w:rsidR="001670EC" w:rsidRDefault="001670EC" w:rsidP="00477618"/>
    <w:p w:rsidR="001670EC" w:rsidRDefault="001670EC" w:rsidP="00477618"/>
    <w:p w:rsidR="001670EC" w:rsidRDefault="001670EC" w:rsidP="00477618"/>
    <w:p w:rsidR="001670EC" w:rsidRDefault="001670EC" w:rsidP="00477618">
      <w:pPr>
        <w:jc w:val="center"/>
        <w:rPr>
          <w:b/>
        </w:rPr>
      </w:pPr>
      <w:r>
        <w:rPr>
          <w:b/>
        </w:rPr>
        <w:t>Chart 5. Rating of chronic disease effort effectiveness by share of respondents</w:t>
      </w:r>
    </w:p>
    <w:p w:rsidR="001670EC" w:rsidRPr="00F624EA" w:rsidRDefault="00B240D8" w:rsidP="00477618">
      <w:pPr>
        <w:jc w:val="center"/>
        <w:rPr>
          <w:b/>
        </w:rPr>
      </w:pPr>
      <w:r>
        <w:rPr>
          <w:noProof/>
        </w:rPr>
        <w:drawing>
          <wp:inline distT="0" distB="0" distL="0" distR="0">
            <wp:extent cx="4572000" cy="2743200"/>
            <wp:effectExtent l="0" t="0" r="0" b="0"/>
            <wp:docPr id="30"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50"/>
                    <a:srcRect l="-1685" t="-3580" r="-3795" b="-3828"/>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670EC" w:rsidRDefault="001670EC" w:rsidP="00477618">
      <w:r>
        <w:t xml:space="preserve">Survey respondents were also asked to provide one or two top strategies being employed in the region by their agency to address chronic disease. </w:t>
      </w:r>
      <w:r w:rsidRPr="004C20B3">
        <w:rPr>
          <w:i/>
        </w:rPr>
        <w:t>An analysis of open-ended responses revealed that educational efforts were the most common strategy to address chronic disease, followed by service coordination and cooperation efforts, and awareness promotion and service marketing</w:t>
      </w:r>
      <w:r>
        <w:t xml:space="preserve"> (Table 5). Note that because many respondents reported agency engagement in more than one strategy, the cumulative values shown in Table 5 exceed 100 percent.</w:t>
      </w:r>
    </w:p>
    <w:p w:rsidR="001670EC" w:rsidRPr="009E15A7" w:rsidRDefault="001670EC" w:rsidP="00477618">
      <w:pPr>
        <w:rPr>
          <w:b/>
        </w:rPr>
      </w:pPr>
      <w:r w:rsidRPr="009E15A7">
        <w:rPr>
          <w:b/>
        </w:rPr>
        <w:t>Table 5. Percent reported as engaged in strategy to address issue of chronic disease</w:t>
      </w:r>
    </w:p>
    <w:tbl>
      <w:tblPr>
        <w:tblW w:w="8020" w:type="dxa"/>
        <w:tblInd w:w="93" w:type="dxa"/>
        <w:tblLook w:val="00A0"/>
      </w:tblPr>
      <w:tblGrid>
        <w:gridCol w:w="7060"/>
        <w:gridCol w:w="960"/>
      </w:tblGrid>
      <w:tr w:rsidR="001670EC" w:rsidRPr="00680D98" w:rsidTr="00477618">
        <w:trPr>
          <w:trHeight w:val="300"/>
        </w:trPr>
        <w:tc>
          <w:tcPr>
            <w:tcW w:w="7060" w:type="dxa"/>
            <w:tcBorders>
              <w:top w:val="single" w:sz="4" w:space="0" w:color="auto"/>
              <w:left w:val="nil"/>
              <w:bottom w:val="single" w:sz="4" w:space="0" w:color="auto"/>
              <w:right w:val="nil"/>
            </w:tcBorders>
            <w:noWrap/>
            <w:vAlign w:val="bottom"/>
          </w:tcPr>
          <w:p w:rsidR="001670EC" w:rsidRPr="00513D3A" w:rsidRDefault="001670EC" w:rsidP="00477618">
            <w:pPr>
              <w:spacing w:after="0" w:line="240" w:lineRule="auto"/>
              <w:jc w:val="center"/>
              <w:rPr>
                <w:rFonts w:cs="Calibri"/>
                <w:b/>
                <w:bCs/>
                <w:color w:val="000000"/>
              </w:rPr>
            </w:pPr>
            <w:r w:rsidRPr="00513D3A">
              <w:rPr>
                <w:rFonts w:cs="Calibri"/>
                <w:b/>
                <w:bCs/>
                <w:color w:val="000000"/>
              </w:rPr>
              <w:t>Strategy</w:t>
            </w:r>
          </w:p>
        </w:tc>
        <w:tc>
          <w:tcPr>
            <w:tcW w:w="960" w:type="dxa"/>
            <w:tcBorders>
              <w:top w:val="single" w:sz="4" w:space="0" w:color="auto"/>
              <w:left w:val="nil"/>
              <w:bottom w:val="single" w:sz="4" w:space="0" w:color="auto"/>
              <w:right w:val="nil"/>
            </w:tcBorders>
            <w:noWrap/>
            <w:vAlign w:val="bottom"/>
          </w:tcPr>
          <w:p w:rsidR="001670EC" w:rsidRPr="00513D3A" w:rsidRDefault="001670EC" w:rsidP="00477618">
            <w:pPr>
              <w:spacing w:after="0" w:line="240" w:lineRule="auto"/>
              <w:jc w:val="center"/>
              <w:rPr>
                <w:rFonts w:cs="Calibri"/>
                <w:b/>
                <w:bCs/>
                <w:color w:val="000000"/>
              </w:rPr>
            </w:pPr>
            <w:r w:rsidRPr="00513D3A">
              <w:rPr>
                <w:rFonts w:cs="Calibri"/>
                <w:b/>
                <w:bCs/>
                <w:color w:val="000000"/>
              </w:rPr>
              <w:t xml:space="preserve">Percent </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Education (treatment options, prevention, risk factors)</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41.8%</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Service coordination, cooperation between agencies</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14.4%</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Promotion &amp; marketing, community awareness campaigns</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12.4%</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Screening or testing (e.g. cancer, diabetes)</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11.1%</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Clinics operation, provision of basic medical services, home services</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11.1%</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Policy advocacy</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11.1%</w:t>
            </w:r>
          </w:p>
        </w:tc>
      </w:tr>
      <w:tr w:rsidR="001670EC" w:rsidRPr="00680D98" w:rsidTr="00477618">
        <w:trPr>
          <w:trHeight w:val="300"/>
        </w:trPr>
        <w:tc>
          <w:tcPr>
            <w:tcW w:w="7060" w:type="dxa"/>
            <w:tcBorders>
              <w:top w:val="nil"/>
              <w:left w:val="nil"/>
              <w:bottom w:val="nil"/>
              <w:right w:val="nil"/>
            </w:tcBorders>
            <w:noWrap/>
          </w:tcPr>
          <w:p w:rsidR="001670EC" w:rsidRPr="00513D3A" w:rsidRDefault="001670EC" w:rsidP="00477618">
            <w:pPr>
              <w:spacing w:after="0" w:line="240" w:lineRule="auto"/>
              <w:rPr>
                <w:rFonts w:cs="Calibri"/>
                <w:color w:val="000000"/>
              </w:rPr>
            </w:pPr>
            <w:r w:rsidRPr="00513D3A">
              <w:rPr>
                <w:rFonts w:cs="Calibri"/>
                <w:color w:val="000000"/>
              </w:rPr>
              <w:t>Drug abuse treatment programs, smoking cessation programs</w:t>
            </w:r>
          </w:p>
        </w:tc>
        <w:tc>
          <w:tcPr>
            <w:tcW w:w="960" w:type="dxa"/>
            <w:tcBorders>
              <w:top w:val="nil"/>
              <w:left w:val="nil"/>
              <w:bottom w:val="nil"/>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3.9%</w:t>
            </w:r>
          </w:p>
        </w:tc>
      </w:tr>
      <w:tr w:rsidR="001670EC" w:rsidRPr="00680D98" w:rsidTr="00477618">
        <w:trPr>
          <w:trHeight w:val="300"/>
        </w:trPr>
        <w:tc>
          <w:tcPr>
            <w:tcW w:w="7060" w:type="dxa"/>
            <w:tcBorders>
              <w:top w:val="nil"/>
              <w:left w:val="nil"/>
              <w:bottom w:val="single" w:sz="4" w:space="0" w:color="auto"/>
              <w:right w:val="nil"/>
            </w:tcBorders>
            <w:noWrap/>
          </w:tcPr>
          <w:p w:rsidR="001670EC" w:rsidRPr="00513D3A" w:rsidRDefault="001670EC" w:rsidP="00477618">
            <w:pPr>
              <w:spacing w:after="0" w:line="240" w:lineRule="auto"/>
              <w:rPr>
                <w:rFonts w:cs="Calibri"/>
                <w:color w:val="000000"/>
              </w:rPr>
            </w:pPr>
            <w:r w:rsidRPr="00513D3A">
              <w:rPr>
                <w:rFonts w:cs="Calibri"/>
                <w:color w:val="000000"/>
              </w:rPr>
              <w:t>Other</w:t>
            </w:r>
          </w:p>
        </w:tc>
        <w:tc>
          <w:tcPr>
            <w:tcW w:w="960" w:type="dxa"/>
            <w:tcBorders>
              <w:top w:val="nil"/>
              <w:left w:val="nil"/>
              <w:bottom w:val="single" w:sz="4" w:space="0" w:color="auto"/>
              <w:right w:val="nil"/>
            </w:tcBorders>
            <w:noWrap/>
          </w:tcPr>
          <w:p w:rsidR="001670EC" w:rsidRPr="00513D3A" w:rsidRDefault="001670EC" w:rsidP="00477618">
            <w:pPr>
              <w:spacing w:after="0" w:line="240" w:lineRule="auto"/>
              <w:jc w:val="right"/>
              <w:rPr>
                <w:rFonts w:cs="Calibri"/>
                <w:color w:val="000000"/>
              </w:rPr>
            </w:pPr>
            <w:r w:rsidRPr="00513D3A">
              <w:rPr>
                <w:rFonts w:cs="Calibri"/>
                <w:color w:val="000000"/>
              </w:rPr>
              <w:t>23.5%</w:t>
            </w:r>
          </w:p>
        </w:tc>
      </w:tr>
    </w:tbl>
    <w:p w:rsidR="001670EC" w:rsidRDefault="001670EC" w:rsidP="00477618"/>
    <w:p w:rsidR="001670EC" w:rsidRDefault="001670EC" w:rsidP="00477618">
      <w:pPr>
        <w:pStyle w:val="Heading4"/>
      </w:pPr>
      <w:bookmarkStart w:id="69" w:name="_Toc352677320"/>
      <w:r>
        <w:t>Area 2: Promote a healthy and safe environment</w:t>
      </w:r>
      <w:bookmarkEnd w:id="69"/>
    </w:p>
    <w:p w:rsidR="001670EC" w:rsidRDefault="001670EC" w:rsidP="00477618">
      <w:r w:rsidRPr="008D538C">
        <w:rPr>
          <w:i/>
        </w:rPr>
        <w:t>As stated previously, the priority area of promoting a healthy and safe environment was ranked by survey respondents as being very important in terms of its relative importance for the region; however, respondents provided a generally moderate assessment of current conditions.</w:t>
      </w:r>
      <w:r>
        <w:t xml:space="preserve"> A plurality of respondents, 39 percent, rated the overall health and safety of the region “good,” followed by 27.8 percent who selected the rating of “fair” (Chart 6). Few respondents selected ratings at either end of the ratings scale: 6.2 percent rated the region’s overall health and safety as poor and less than one percent described conditions as excellent.</w:t>
      </w:r>
    </w:p>
    <w:p w:rsidR="001670EC" w:rsidRPr="003439B7" w:rsidRDefault="001670EC" w:rsidP="00477618">
      <w:pPr>
        <w:jc w:val="center"/>
        <w:rPr>
          <w:b/>
        </w:rPr>
      </w:pPr>
      <w:r w:rsidRPr="003439B7">
        <w:rPr>
          <w:b/>
        </w:rPr>
        <w:t xml:space="preserve">Chart </w:t>
      </w:r>
      <w:r>
        <w:rPr>
          <w:b/>
        </w:rPr>
        <w:t>6</w:t>
      </w:r>
      <w:r w:rsidRPr="003439B7">
        <w:rPr>
          <w:b/>
        </w:rPr>
        <w:t>. Rating of overall regional health and safety by share of responses</w:t>
      </w:r>
    </w:p>
    <w:p w:rsidR="001670EC" w:rsidRDefault="00B240D8" w:rsidP="00477618">
      <w:pPr>
        <w:jc w:val="center"/>
      </w:pPr>
      <w:r>
        <w:rPr>
          <w:noProof/>
        </w:rPr>
        <w:drawing>
          <wp:inline distT="0" distB="0" distL="0" distR="0">
            <wp:extent cx="4572000" cy="2743200"/>
            <wp:effectExtent l="0" t="0" r="0" b="0"/>
            <wp:docPr id="3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670EC" w:rsidRDefault="001670EC" w:rsidP="00477618">
      <w:r>
        <w:t>Most respondents also provided only moderate rankings on the effectiveness of existing efforts to promote a healthy and safe environment. As shown in Chart 7, more than one-in-three respondents indicated that existing efforts are moderately effective, followed by approximately one-in-five who indicated that existing efforts are only ”slightly” effective. A high portion of respondents, 31.6 percent, indicated that they don’t know about the effectiveness of any current efforts to promote a healthy safe environment, which suggests that in some service areas such efforts are either poorly publicized or absent. Overall, the ratings seem to suggest that room exists for improvement in the programs that currently exist. When asked how current efforts could be improved, many respondents stated that they didn’t know and several also suggested that there were not many efforts or that there was not enough follow through. Other respondents also suggested that increased coordination and more broad, community-level efforts were necessary.</w:t>
      </w:r>
    </w:p>
    <w:p w:rsidR="001670EC" w:rsidRDefault="001670EC" w:rsidP="00477618">
      <w:r w:rsidRPr="0082591A">
        <w:t>As was th</w:t>
      </w:r>
      <w:r>
        <w:t xml:space="preserve">e case with the chronic disease priority area, </w:t>
      </w:r>
      <w:r w:rsidRPr="004C20B3">
        <w:rPr>
          <w:i/>
        </w:rPr>
        <w:t>the most prevalent strategy employed by respondent agencies to promote a healthy and safe environment was education</w:t>
      </w:r>
      <w:r>
        <w:t>. When asked to provide one or two top strategies used by their own agency, 30.9 percent of respondents identified an activity associated with education of area residents on issues related to health and safety (Table 6). Other popular strategies included providing physical improvements in the community, coordinating with other agencies, and policy advocacy. The most commonly identified population groups for targeted efforts to improve general health and safety were people living at or near poverty, children and adolescents, and senior citizens.</w:t>
      </w:r>
    </w:p>
    <w:p w:rsidR="001670EC" w:rsidRDefault="001670EC" w:rsidP="00477618">
      <w:pPr>
        <w:rPr>
          <w:b/>
        </w:rPr>
      </w:pP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r w:rsidRPr="003439B7">
        <w:rPr>
          <w:b/>
        </w:rPr>
        <w:t xml:space="preserve">Chart </w:t>
      </w:r>
      <w:r>
        <w:rPr>
          <w:b/>
        </w:rPr>
        <w:t>7</w:t>
      </w:r>
      <w:r w:rsidRPr="003439B7">
        <w:rPr>
          <w:b/>
        </w:rPr>
        <w:t>. Rating of effectiveness of existing efforts to promote health and safety by share of responses</w:t>
      </w:r>
    </w:p>
    <w:p w:rsidR="001670EC" w:rsidRDefault="00B240D8" w:rsidP="00477618">
      <w:pPr>
        <w:jc w:val="center"/>
        <w:rPr>
          <w:b/>
        </w:rPr>
      </w:pPr>
      <w:r>
        <w:rPr>
          <w:noProof/>
        </w:rPr>
        <w:drawing>
          <wp:inline distT="0" distB="0" distL="0" distR="0">
            <wp:extent cx="4572000" cy="2743200"/>
            <wp:effectExtent l="0" t="0" r="0" b="0"/>
            <wp:docPr id="3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670EC" w:rsidRDefault="001670EC" w:rsidP="00477618">
      <w:pPr>
        <w:rPr>
          <w:b/>
        </w:rPr>
      </w:pPr>
    </w:p>
    <w:p w:rsidR="001670EC" w:rsidRPr="0082591A" w:rsidRDefault="001670EC" w:rsidP="00477618">
      <w:r w:rsidRPr="009E15A7">
        <w:rPr>
          <w:b/>
        </w:rPr>
        <w:t xml:space="preserve">Table </w:t>
      </w:r>
      <w:r>
        <w:rPr>
          <w:b/>
        </w:rPr>
        <w:t>6</w:t>
      </w:r>
      <w:r w:rsidRPr="009E15A7">
        <w:rPr>
          <w:b/>
        </w:rPr>
        <w:t xml:space="preserve">. Percent reported as </w:t>
      </w:r>
      <w:r>
        <w:rPr>
          <w:b/>
        </w:rPr>
        <w:t>engaged in strategy to promote health and safety</w:t>
      </w:r>
    </w:p>
    <w:tbl>
      <w:tblPr>
        <w:tblW w:w="7215" w:type="dxa"/>
        <w:tblInd w:w="93" w:type="dxa"/>
        <w:tblLook w:val="00A0"/>
      </w:tblPr>
      <w:tblGrid>
        <w:gridCol w:w="6225"/>
        <w:gridCol w:w="990"/>
      </w:tblGrid>
      <w:tr w:rsidR="001670EC" w:rsidRPr="00680D98" w:rsidTr="00477618">
        <w:trPr>
          <w:trHeight w:val="300"/>
        </w:trPr>
        <w:tc>
          <w:tcPr>
            <w:tcW w:w="6225" w:type="dxa"/>
            <w:tcBorders>
              <w:top w:val="single" w:sz="4" w:space="0" w:color="auto"/>
              <w:left w:val="nil"/>
              <w:bottom w:val="single" w:sz="4" w:space="0" w:color="auto"/>
              <w:right w:val="nil"/>
            </w:tcBorders>
            <w:noWrap/>
            <w:vAlign w:val="bottom"/>
          </w:tcPr>
          <w:p w:rsidR="001670EC" w:rsidRPr="004D3DEE" w:rsidRDefault="001670EC" w:rsidP="00477618">
            <w:pPr>
              <w:spacing w:after="0" w:line="240" w:lineRule="auto"/>
              <w:jc w:val="center"/>
              <w:rPr>
                <w:rFonts w:cs="Calibri"/>
                <w:b/>
                <w:bCs/>
                <w:color w:val="000000"/>
              </w:rPr>
            </w:pPr>
            <w:r w:rsidRPr="004D3DEE">
              <w:rPr>
                <w:rFonts w:cs="Calibri"/>
                <w:b/>
                <w:bCs/>
                <w:color w:val="000000"/>
              </w:rPr>
              <w:t>Strategy</w:t>
            </w:r>
          </w:p>
        </w:tc>
        <w:tc>
          <w:tcPr>
            <w:tcW w:w="990" w:type="dxa"/>
            <w:tcBorders>
              <w:top w:val="single" w:sz="4" w:space="0" w:color="auto"/>
              <w:left w:val="nil"/>
              <w:bottom w:val="single" w:sz="4" w:space="0" w:color="auto"/>
              <w:right w:val="nil"/>
            </w:tcBorders>
            <w:noWrap/>
            <w:vAlign w:val="bottom"/>
          </w:tcPr>
          <w:p w:rsidR="001670EC" w:rsidRPr="004D3DEE" w:rsidRDefault="001670EC" w:rsidP="00477618">
            <w:pPr>
              <w:spacing w:after="0" w:line="240" w:lineRule="auto"/>
              <w:jc w:val="center"/>
              <w:rPr>
                <w:rFonts w:cs="Calibri"/>
                <w:b/>
                <w:bCs/>
                <w:color w:val="000000"/>
              </w:rPr>
            </w:pPr>
            <w:r w:rsidRPr="004D3DEE">
              <w:rPr>
                <w:rFonts w:cs="Calibri"/>
                <w:b/>
                <w:bCs/>
                <w:color w:val="000000"/>
              </w:rPr>
              <w:t xml:space="preserve">Percent </w:t>
            </w:r>
          </w:p>
        </w:tc>
      </w:tr>
      <w:tr w:rsidR="001670EC" w:rsidRPr="00680D98" w:rsidTr="00477618">
        <w:trPr>
          <w:trHeight w:val="242"/>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Education (prevention and health ed., worker training)</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30.9</w:t>
            </w:r>
          </w:p>
        </w:tc>
      </w:tr>
      <w:tr w:rsidR="001670EC" w:rsidRPr="00680D98" w:rsidTr="00477618">
        <w:trPr>
          <w:trHeight w:val="513"/>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Provide physical improvements (equipment, housing improvements, sidewalks and trails, community assets)</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18.7</w:t>
            </w:r>
          </w:p>
        </w:tc>
      </w:tr>
      <w:tr w:rsidR="001670EC" w:rsidRPr="00680D98" w:rsidTr="00477618">
        <w:trPr>
          <w:trHeight w:val="252"/>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Service coordination, cooperation between agencies</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15.4</w:t>
            </w:r>
          </w:p>
        </w:tc>
      </w:tr>
      <w:tr w:rsidR="001670EC" w:rsidRPr="00680D98" w:rsidTr="00477618">
        <w:trPr>
          <w:trHeight w:val="252"/>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Policy advocacy, create and implement safety rules</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10.6</w:t>
            </w:r>
          </w:p>
        </w:tc>
      </w:tr>
      <w:tr w:rsidR="001670EC" w:rsidRPr="00680D98" w:rsidTr="00477618">
        <w:trPr>
          <w:trHeight w:val="300"/>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Exercise, food, and cooking programs</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9.8</w:t>
            </w:r>
          </w:p>
        </w:tc>
      </w:tr>
      <w:tr w:rsidR="001670EC" w:rsidRPr="00680D98" w:rsidTr="00477618">
        <w:trPr>
          <w:trHeight w:val="300"/>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Inspection (safety), regulatory enforcement</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8.1</w:t>
            </w:r>
          </w:p>
        </w:tc>
      </w:tr>
      <w:tr w:rsidR="001670EC" w:rsidRPr="00680D98" w:rsidTr="00477618">
        <w:trPr>
          <w:trHeight w:val="300"/>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Services for children, WIC, child care</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8.1</w:t>
            </w:r>
          </w:p>
        </w:tc>
      </w:tr>
      <w:tr w:rsidR="001670EC" w:rsidRPr="00680D98" w:rsidTr="00477618">
        <w:trPr>
          <w:trHeight w:val="252"/>
        </w:trPr>
        <w:tc>
          <w:tcPr>
            <w:tcW w:w="6225" w:type="dxa"/>
            <w:tcBorders>
              <w:top w:val="nil"/>
              <w:left w:val="nil"/>
              <w:bottom w:val="nil"/>
              <w:right w:val="nil"/>
            </w:tcBorders>
          </w:tcPr>
          <w:p w:rsidR="001670EC" w:rsidRPr="004D3DEE" w:rsidRDefault="001670EC" w:rsidP="00477618">
            <w:pPr>
              <w:spacing w:after="0" w:line="240" w:lineRule="auto"/>
              <w:rPr>
                <w:rFonts w:cs="Calibri"/>
                <w:color w:val="000000"/>
              </w:rPr>
            </w:pPr>
            <w:r w:rsidRPr="004D3DEE">
              <w:rPr>
                <w:rFonts w:cs="Calibri"/>
                <w:color w:val="000000"/>
              </w:rPr>
              <w:t>Promotion &amp; marketing, community awareness campaigns</w:t>
            </w:r>
          </w:p>
        </w:tc>
        <w:tc>
          <w:tcPr>
            <w:tcW w:w="990" w:type="dxa"/>
            <w:tcBorders>
              <w:top w:val="nil"/>
              <w:left w:val="nil"/>
              <w:bottom w:val="nil"/>
              <w:right w:val="nil"/>
            </w:tcBorders>
            <w:noWrap/>
          </w:tcPr>
          <w:p w:rsidR="001670EC" w:rsidRPr="004D3DEE" w:rsidRDefault="001670EC" w:rsidP="00477618">
            <w:pPr>
              <w:spacing w:after="0" w:line="240" w:lineRule="auto"/>
              <w:jc w:val="right"/>
              <w:rPr>
                <w:rFonts w:cs="Calibri"/>
                <w:color w:val="000000"/>
              </w:rPr>
            </w:pPr>
            <w:r>
              <w:rPr>
                <w:rFonts w:cs="Calibri"/>
                <w:color w:val="000000"/>
              </w:rPr>
              <w:t>6.5</w:t>
            </w:r>
          </w:p>
        </w:tc>
      </w:tr>
      <w:tr w:rsidR="001670EC" w:rsidRPr="00680D98" w:rsidTr="00477618">
        <w:trPr>
          <w:trHeight w:val="300"/>
        </w:trPr>
        <w:tc>
          <w:tcPr>
            <w:tcW w:w="6225" w:type="dxa"/>
            <w:tcBorders>
              <w:top w:val="nil"/>
              <w:left w:val="nil"/>
              <w:bottom w:val="single" w:sz="4" w:space="0" w:color="auto"/>
              <w:right w:val="nil"/>
            </w:tcBorders>
            <w:noWrap/>
          </w:tcPr>
          <w:p w:rsidR="001670EC" w:rsidRPr="004D3DEE" w:rsidRDefault="001670EC" w:rsidP="00477618">
            <w:pPr>
              <w:spacing w:after="0" w:line="240" w:lineRule="auto"/>
              <w:rPr>
                <w:rFonts w:cs="Calibri"/>
                <w:color w:val="000000"/>
              </w:rPr>
            </w:pPr>
            <w:r w:rsidRPr="004D3DEE">
              <w:rPr>
                <w:rFonts w:cs="Calibri"/>
                <w:color w:val="000000"/>
              </w:rPr>
              <w:t>Other</w:t>
            </w:r>
          </w:p>
        </w:tc>
        <w:tc>
          <w:tcPr>
            <w:tcW w:w="990" w:type="dxa"/>
            <w:tcBorders>
              <w:top w:val="nil"/>
              <w:left w:val="nil"/>
              <w:bottom w:val="single" w:sz="4" w:space="0" w:color="auto"/>
              <w:right w:val="nil"/>
            </w:tcBorders>
            <w:noWrap/>
          </w:tcPr>
          <w:p w:rsidR="001670EC" w:rsidRPr="004D3DEE" w:rsidRDefault="001670EC" w:rsidP="00477618">
            <w:pPr>
              <w:spacing w:after="0" w:line="240" w:lineRule="auto"/>
              <w:jc w:val="right"/>
              <w:rPr>
                <w:rFonts w:cs="Calibri"/>
                <w:color w:val="000000"/>
              </w:rPr>
            </w:pPr>
            <w:r>
              <w:rPr>
                <w:rFonts w:cs="Calibri"/>
                <w:color w:val="000000"/>
              </w:rPr>
              <w:t>21.1</w:t>
            </w:r>
          </w:p>
        </w:tc>
      </w:tr>
    </w:tbl>
    <w:p w:rsidR="001670EC" w:rsidRDefault="001670EC" w:rsidP="00477618">
      <w:pPr>
        <w:rPr>
          <w:b/>
        </w:rPr>
      </w:pPr>
    </w:p>
    <w:p w:rsidR="001670EC" w:rsidRDefault="001670EC" w:rsidP="00477618">
      <w:pPr>
        <w:pStyle w:val="Heading4"/>
      </w:pPr>
      <w:bookmarkStart w:id="70" w:name="_Toc352677321"/>
      <w:r>
        <w:t>Area 3: Promote healthy women, infants, and children</w:t>
      </w:r>
      <w:bookmarkEnd w:id="70"/>
    </w:p>
    <w:p w:rsidR="001670EC" w:rsidRDefault="001670EC" w:rsidP="00477618">
      <w:r>
        <w:t xml:space="preserve">The overall health of women, infants, and children was rated similar to that of the overall health and safety of the region: </w:t>
      </w:r>
      <w:r w:rsidRPr="004C20B3">
        <w:rPr>
          <w:i/>
        </w:rPr>
        <w:t>most gave a rating of “good” or “fair” with few selecting the highest or lowest ratings</w:t>
      </w:r>
      <w:r>
        <w:t xml:space="preserve"> (Chart 8). Once again, a somewhat high portion of respondents, 18.7 percent, indicated that they did not know about the health of women, infants, and children in the region. The prevalence of “don’t know” responses throughout the survey suggests that many stakeholders have not been informed about other health care efforts going on in the region. Also, very few described conditions as either excellent or poor.</w:t>
      </w:r>
    </w:p>
    <w:p w:rsidR="001670EC" w:rsidRDefault="001670EC" w:rsidP="00477618"/>
    <w:p w:rsidR="001670EC" w:rsidRPr="004D3DEE" w:rsidRDefault="001670EC" w:rsidP="00477618"/>
    <w:p w:rsidR="001670EC" w:rsidRDefault="001670EC" w:rsidP="00477618">
      <w:pPr>
        <w:jc w:val="center"/>
        <w:rPr>
          <w:b/>
        </w:rPr>
      </w:pPr>
      <w:r>
        <w:rPr>
          <w:b/>
        </w:rPr>
        <w:t>Chart 8.</w:t>
      </w:r>
      <w:r w:rsidRPr="003439B7">
        <w:rPr>
          <w:b/>
        </w:rPr>
        <w:t>Rating of overall regional health</w:t>
      </w:r>
      <w:r>
        <w:rPr>
          <w:b/>
        </w:rPr>
        <w:t xml:space="preserve"> of women, infants, and children</w:t>
      </w:r>
    </w:p>
    <w:p w:rsidR="001670EC" w:rsidRDefault="00B240D8" w:rsidP="00477618">
      <w:pPr>
        <w:jc w:val="center"/>
        <w:rPr>
          <w:b/>
        </w:rPr>
      </w:pPr>
      <w:r>
        <w:rPr>
          <w:noProof/>
        </w:rPr>
        <w:drawing>
          <wp:inline distT="0" distB="0" distL="0" distR="0">
            <wp:extent cx="4572000" cy="2743200"/>
            <wp:effectExtent l="0" t="0" r="0" b="0"/>
            <wp:docPr id="33"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53"/>
                    <a:srcRect l="-1685" t="-3580" r="-3795" b="-3828"/>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670EC" w:rsidRDefault="001670EC" w:rsidP="00477618">
      <w:r w:rsidRPr="004C20B3">
        <w:rPr>
          <w:i/>
        </w:rPr>
        <w:t>The  largest portion of respondents, 41.2 percent, rated the effectiveness of current efforts to promote the health of mothers, infants, and children were rated by the as moderately effective, followed by 33.6 that indicated that they don’t know about the effectiveness of current efforts</w:t>
      </w:r>
      <w:r>
        <w:t xml:space="preserve"> (Chart 9). The large portion of respondents that indicated a lack of knowledge about the effectiveness of current efforts was surprising given that 67.1 percent previously indicated that their own agency was already involved with the issue (Chart 2). Effectiveness ratings at either extreme of the scale were almost non-existent, though 15 percent indicated that existing efforts are slightly effective and 9.3 percent described current efforts as very effective. Overall, the survey suggests that current efforts are middling and unknown to many.</w:t>
      </w:r>
    </w:p>
    <w:p w:rsidR="001670EC" w:rsidRDefault="001670EC" w:rsidP="00477618">
      <w:r>
        <w:t>When asked how current efforts to address the health of mothers, infants, and children could be improved, respondents provided a wide range of responses. Comments in favor of increasing education and outreach efforts were common, particularly around sex education and pregnancy prevention. Many respondents also noted specific health services that needed to be made more accessible, especially dental services for children. Not surprisingly, the population groups identified as being in need of targeting for this Health Agenda area were women of reproductive age, people in poverty, and children and adolescents.</w:t>
      </w:r>
    </w:p>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Pr>
        <w:rPr>
          <w:b/>
        </w:rPr>
      </w:pPr>
      <w:r>
        <w:rPr>
          <w:b/>
        </w:rPr>
        <w:t>Chart 9.</w:t>
      </w:r>
      <w:r w:rsidRPr="003439B7">
        <w:rPr>
          <w:b/>
        </w:rPr>
        <w:t>Rating of effectiveness of existing efforts to promote health</w:t>
      </w:r>
      <w:r>
        <w:rPr>
          <w:b/>
        </w:rPr>
        <w:t xml:space="preserve"> of women, infants, and children</w:t>
      </w:r>
    </w:p>
    <w:p w:rsidR="001670EC" w:rsidRPr="00A20AC5" w:rsidRDefault="00B240D8" w:rsidP="00477618">
      <w:pPr>
        <w:jc w:val="center"/>
        <w:rPr>
          <w:b/>
        </w:rPr>
      </w:pPr>
      <w:r>
        <w:rPr>
          <w:noProof/>
        </w:rPr>
        <w:drawing>
          <wp:inline distT="0" distB="0" distL="0" distR="0">
            <wp:extent cx="4572000" cy="2743200"/>
            <wp:effectExtent l="0" t="0" r="0" b="0"/>
            <wp:docPr id="3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670EC" w:rsidRDefault="001670EC" w:rsidP="00477618"/>
    <w:p w:rsidR="001670EC" w:rsidRDefault="001670EC" w:rsidP="00477618">
      <w:r w:rsidRPr="004C20B3">
        <w:rPr>
          <w:i/>
        </w:rPr>
        <w:t>As shown in Table 7, the most common agency strategy used to address the health of women, infants, and children was education programs—particularly those aimed at mothers, such as breastfeeding classes, nutritional classes, and courses on child care skills or health.</w:t>
      </w:r>
      <w:r>
        <w:t xml:space="preserve"> Other popular strategies included home visiting and assessment programs, the direct provision of medical care services, and food assistance programs such as WIC. Policy advocacy and awareness or publicity campaigns were mentioned, but less prevalent than for other priority areas. </w:t>
      </w:r>
    </w:p>
    <w:p w:rsidR="001670EC" w:rsidRDefault="001670EC" w:rsidP="00477618">
      <w:pPr>
        <w:rPr>
          <w:b/>
        </w:rPr>
      </w:pPr>
      <w:r w:rsidRPr="00675DA4">
        <w:rPr>
          <w:b/>
        </w:rPr>
        <w:t>Table 7.</w:t>
      </w:r>
      <w:r w:rsidRPr="009E15A7">
        <w:rPr>
          <w:b/>
        </w:rPr>
        <w:t xml:space="preserve">Percent reported as </w:t>
      </w:r>
      <w:r>
        <w:rPr>
          <w:b/>
        </w:rPr>
        <w:t>engaged in strategy to promote health of women, infants, and children</w:t>
      </w:r>
    </w:p>
    <w:tbl>
      <w:tblPr>
        <w:tblW w:w="6155" w:type="dxa"/>
        <w:tblInd w:w="93" w:type="dxa"/>
        <w:tblLook w:val="00A0"/>
      </w:tblPr>
      <w:tblGrid>
        <w:gridCol w:w="5919"/>
        <w:gridCol w:w="920"/>
      </w:tblGrid>
      <w:tr w:rsidR="001670EC" w:rsidRPr="00680D98" w:rsidTr="00477618">
        <w:trPr>
          <w:trHeight w:val="300"/>
        </w:trPr>
        <w:tc>
          <w:tcPr>
            <w:tcW w:w="5919" w:type="dxa"/>
            <w:tcBorders>
              <w:top w:val="single" w:sz="4" w:space="0" w:color="auto"/>
              <w:left w:val="nil"/>
              <w:bottom w:val="single" w:sz="4" w:space="0" w:color="auto"/>
              <w:right w:val="nil"/>
            </w:tcBorders>
            <w:noWrap/>
            <w:vAlign w:val="bottom"/>
          </w:tcPr>
          <w:p w:rsidR="001670EC" w:rsidRPr="00675DA4" w:rsidRDefault="001670EC" w:rsidP="00477618">
            <w:pPr>
              <w:spacing w:after="0" w:line="240" w:lineRule="auto"/>
              <w:jc w:val="center"/>
              <w:rPr>
                <w:rFonts w:cs="Calibri"/>
                <w:b/>
                <w:bCs/>
                <w:color w:val="000000"/>
              </w:rPr>
            </w:pPr>
            <w:r w:rsidRPr="00675DA4">
              <w:rPr>
                <w:rFonts w:cs="Calibri"/>
                <w:b/>
                <w:bCs/>
                <w:color w:val="000000"/>
              </w:rPr>
              <w:t>Strategy</w:t>
            </w:r>
          </w:p>
        </w:tc>
        <w:tc>
          <w:tcPr>
            <w:tcW w:w="236" w:type="dxa"/>
            <w:tcBorders>
              <w:top w:val="single" w:sz="4" w:space="0" w:color="auto"/>
              <w:left w:val="nil"/>
              <w:bottom w:val="single" w:sz="4" w:space="0" w:color="auto"/>
              <w:right w:val="nil"/>
            </w:tcBorders>
            <w:noWrap/>
            <w:vAlign w:val="bottom"/>
          </w:tcPr>
          <w:p w:rsidR="001670EC" w:rsidRPr="00675DA4" w:rsidRDefault="001670EC" w:rsidP="00477618">
            <w:pPr>
              <w:spacing w:after="0" w:line="240" w:lineRule="auto"/>
              <w:jc w:val="center"/>
              <w:rPr>
                <w:rFonts w:cs="Calibri"/>
                <w:b/>
                <w:bCs/>
                <w:color w:val="000000"/>
              </w:rPr>
            </w:pPr>
            <w:r w:rsidRPr="00675DA4">
              <w:rPr>
                <w:rFonts w:cs="Calibri"/>
                <w:b/>
                <w:bCs/>
                <w:color w:val="000000"/>
              </w:rPr>
              <w:t xml:space="preserve">Percent </w:t>
            </w:r>
          </w:p>
        </w:tc>
      </w:tr>
      <w:tr w:rsidR="001670EC" w:rsidRPr="00680D98" w:rsidTr="00477618">
        <w:trPr>
          <w:trHeight w:val="242"/>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Education (breastfeeding, nutrition, child care skills)</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49.2</w:t>
            </w:r>
          </w:p>
        </w:tc>
      </w:tr>
      <w:tr w:rsidR="001670EC" w:rsidRPr="00680D98" w:rsidTr="00477618">
        <w:trPr>
          <w:trHeight w:val="270"/>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Home visiting programs, assessment and referral services</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18.9</w:t>
            </w:r>
          </w:p>
        </w:tc>
      </w:tr>
      <w:tr w:rsidR="001670EC" w:rsidRPr="00680D98" w:rsidTr="00477618">
        <w:trPr>
          <w:trHeight w:val="300"/>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Medical care services</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16.4</w:t>
            </w:r>
          </w:p>
        </w:tc>
      </w:tr>
      <w:tr w:rsidR="001670EC" w:rsidRPr="00680D98" w:rsidTr="00477618">
        <w:trPr>
          <w:trHeight w:val="300"/>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Food assistance, formula, WIC program</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10.7</w:t>
            </w:r>
          </w:p>
        </w:tc>
      </w:tr>
      <w:tr w:rsidR="001670EC" w:rsidRPr="00680D98" w:rsidTr="00477618">
        <w:trPr>
          <w:trHeight w:val="300"/>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Awareness campaigns</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6.6</w:t>
            </w:r>
          </w:p>
        </w:tc>
      </w:tr>
      <w:tr w:rsidR="001670EC" w:rsidRPr="00680D98" w:rsidTr="00477618">
        <w:trPr>
          <w:trHeight w:val="300"/>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Daycare and preschool programs</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2.5</w:t>
            </w:r>
          </w:p>
        </w:tc>
      </w:tr>
      <w:tr w:rsidR="001670EC" w:rsidRPr="00680D98" w:rsidTr="00477618">
        <w:trPr>
          <w:trHeight w:val="300"/>
        </w:trPr>
        <w:tc>
          <w:tcPr>
            <w:tcW w:w="5919" w:type="dxa"/>
            <w:tcBorders>
              <w:top w:val="nil"/>
              <w:left w:val="nil"/>
              <w:bottom w:val="nil"/>
              <w:right w:val="nil"/>
            </w:tcBorders>
          </w:tcPr>
          <w:p w:rsidR="001670EC" w:rsidRPr="00675DA4" w:rsidRDefault="001670EC" w:rsidP="00477618">
            <w:pPr>
              <w:spacing w:after="0" w:line="240" w:lineRule="auto"/>
              <w:rPr>
                <w:rFonts w:cs="Calibri"/>
                <w:color w:val="000000"/>
              </w:rPr>
            </w:pPr>
            <w:r w:rsidRPr="00675DA4">
              <w:rPr>
                <w:rFonts w:cs="Calibri"/>
                <w:color w:val="000000"/>
              </w:rPr>
              <w:t>Policy advocacy</w:t>
            </w:r>
          </w:p>
        </w:tc>
        <w:tc>
          <w:tcPr>
            <w:tcW w:w="236" w:type="dxa"/>
            <w:tcBorders>
              <w:top w:val="nil"/>
              <w:left w:val="nil"/>
              <w:bottom w:val="nil"/>
              <w:right w:val="nil"/>
            </w:tcBorders>
            <w:noWrap/>
          </w:tcPr>
          <w:p w:rsidR="001670EC" w:rsidRPr="00675DA4" w:rsidRDefault="001670EC" w:rsidP="00477618">
            <w:pPr>
              <w:spacing w:after="0" w:line="240" w:lineRule="auto"/>
              <w:jc w:val="right"/>
              <w:rPr>
                <w:rFonts w:cs="Calibri"/>
                <w:color w:val="000000"/>
              </w:rPr>
            </w:pPr>
            <w:r>
              <w:rPr>
                <w:rFonts w:cs="Calibri"/>
                <w:color w:val="000000"/>
              </w:rPr>
              <w:t>2.5</w:t>
            </w:r>
          </w:p>
        </w:tc>
      </w:tr>
      <w:tr w:rsidR="001670EC" w:rsidRPr="00680D98" w:rsidTr="00477618">
        <w:trPr>
          <w:trHeight w:val="300"/>
        </w:trPr>
        <w:tc>
          <w:tcPr>
            <w:tcW w:w="5919" w:type="dxa"/>
            <w:tcBorders>
              <w:top w:val="nil"/>
              <w:left w:val="nil"/>
              <w:bottom w:val="single" w:sz="4" w:space="0" w:color="auto"/>
              <w:right w:val="nil"/>
            </w:tcBorders>
          </w:tcPr>
          <w:p w:rsidR="001670EC" w:rsidRPr="00675DA4" w:rsidRDefault="001670EC" w:rsidP="00477618">
            <w:pPr>
              <w:spacing w:after="0" w:line="240" w:lineRule="auto"/>
              <w:rPr>
                <w:rFonts w:cs="Calibri"/>
                <w:color w:val="000000"/>
              </w:rPr>
            </w:pPr>
            <w:r w:rsidRPr="00675DA4">
              <w:rPr>
                <w:rFonts w:cs="Calibri"/>
                <w:color w:val="000000"/>
              </w:rPr>
              <w:t>Other</w:t>
            </w:r>
          </w:p>
        </w:tc>
        <w:tc>
          <w:tcPr>
            <w:tcW w:w="236" w:type="dxa"/>
            <w:tcBorders>
              <w:top w:val="nil"/>
              <w:left w:val="nil"/>
              <w:bottom w:val="single" w:sz="4" w:space="0" w:color="auto"/>
              <w:right w:val="nil"/>
            </w:tcBorders>
            <w:noWrap/>
          </w:tcPr>
          <w:p w:rsidR="001670EC" w:rsidRPr="00675DA4" w:rsidRDefault="001670EC" w:rsidP="00477618">
            <w:pPr>
              <w:spacing w:after="0" w:line="240" w:lineRule="auto"/>
              <w:jc w:val="right"/>
              <w:rPr>
                <w:rFonts w:cs="Calibri"/>
                <w:color w:val="000000"/>
              </w:rPr>
            </w:pPr>
            <w:r>
              <w:rPr>
                <w:rFonts w:cs="Calibri"/>
                <w:color w:val="000000"/>
              </w:rPr>
              <w:t>23.8</w:t>
            </w:r>
          </w:p>
        </w:tc>
      </w:tr>
    </w:tbl>
    <w:p w:rsidR="001670EC" w:rsidRDefault="001670EC" w:rsidP="00477618"/>
    <w:p w:rsidR="001670EC" w:rsidRDefault="001670EC" w:rsidP="00477618">
      <w:pPr>
        <w:pStyle w:val="Heading4"/>
      </w:pPr>
      <w:bookmarkStart w:id="71" w:name="_Toc352677322"/>
      <w:r>
        <w:t>Area 4: Promote mental health and prevent substance abuse</w:t>
      </w:r>
      <w:bookmarkEnd w:id="71"/>
    </w:p>
    <w:p w:rsidR="001670EC" w:rsidRDefault="001670EC" w:rsidP="00477618">
      <w:r>
        <w:t>The “promote mental health and prevent substance abuse” priority area differs slightly from the other priority areas in that it includes two relatively distinct types of ailments: mental illness and drug and alcohol abuse. As a result, the survey separates the major issues of the priority area in many of the questions. An example of the division into separate mental health issues and substance abuse issues was previously reported earlier in the section (see Chart 2 &amp; 3).</w:t>
      </w:r>
    </w:p>
    <w:p w:rsidR="001670EC" w:rsidRDefault="001670EC" w:rsidP="00477618">
      <w:r w:rsidRPr="004C20B3">
        <w:rPr>
          <w:i/>
        </w:rPr>
        <w:t xml:space="preserve">In general, most survey respondents indicated that both </w:t>
      </w:r>
      <w:r>
        <w:rPr>
          <w:i/>
        </w:rPr>
        <w:t>mental health and substance abuse</w:t>
      </w:r>
      <w:r w:rsidRPr="004C20B3">
        <w:rPr>
          <w:i/>
        </w:rPr>
        <w:t xml:space="preserve"> are problematic for the region. </w:t>
      </w:r>
      <w:r>
        <w:t>Chart 10 summarizes the respondent’s ratings on the severity of untreated mental illness and Chart 11 summarizes ratings of the severity of substance abuse problems. The largest portion, 34.5 percent, indicated that untreated mental illness is a very severe problem, followed by 31 percent who view the problem as moderately severe, and 10.2 percent who see the problem as extremely severe. Substance abuse was rated as an even more serious problem for the region, as nearly half of all respondents described the problem as very severe. Of course, it should be noted that there were also signs that the extent of both problems is not universally understood by health and service providers. A lack of knowledge about the severity of the issue was cited by respondents roughly 20 percent of the time on the issue of untreated mental illness and by 13.4 percent of respondents in regards to the issue of substance abuse.</w:t>
      </w:r>
    </w:p>
    <w:p w:rsidR="001670EC" w:rsidRDefault="001670EC" w:rsidP="00477618">
      <w:r>
        <w:t>The extent to which untreated mental illness and substance abuse are seen as regional problems exhibits a pattern similar to the importance rankings of other issues previously reported in Table 3. Untreated mental illness and substance abuse are both problematic, but are rated at a level of severity that is behind that of chronic disease.</w:t>
      </w:r>
    </w:p>
    <w:p w:rsidR="001670EC" w:rsidRDefault="001670EC" w:rsidP="00477618">
      <w:pPr>
        <w:jc w:val="center"/>
        <w:rPr>
          <w:b/>
        </w:rPr>
      </w:pPr>
      <w:r>
        <w:rPr>
          <w:b/>
        </w:rPr>
        <w:t>Chart 10. Rating of severity of problem of untreated mental illness by share of respondents</w:t>
      </w:r>
    </w:p>
    <w:p w:rsidR="001670EC" w:rsidRDefault="00B240D8" w:rsidP="00477618">
      <w:pPr>
        <w:jc w:val="center"/>
      </w:pPr>
      <w:r>
        <w:rPr>
          <w:noProof/>
        </w:rPr>
        <w:drawing>
          <wp:inline distT="0" distB="0" distL="0" distR="0">
            <wp:extent cx="4572000" cy="2743200"/>
            <wp:effectExtent l="0" t="0" r="0" b="0"/>
            <wp:docPr id="3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p>
    <w:p w:rsidR="001670EC" w:rsidRDefault="001670EC" w:rsidP="00477618">
      <w:pPr>
        <w:jc w:val="center"/>
        <w:rPr>
          <w:b/>
        </w:rPr>
      </w:pPr>
      <w:r>
        <w:rPr>
          <w:b/>
        </w:rPr>
        <w:t>Chart 11. Rating of severity of substance abuse as a problem by share of respondents</w:t>
      </w:r>
    </w:p>
    <w:p w:rsidR="001670EC" w:rsidRDefault="00B240D8" w:rsidP="00477618">
      <w:pPr>
        <w:jc w:val="center"/>
      </w:pPr>
      <w:r>
        <w:rPr>
          <w:noProof/>
        </w:rPr>
        <w:drawing>
          <wp:inline distT="0" distB="0" distL="0" distR="0">
            <wp:extent cx="4572000" cy="2743200"/>
            <wp:effectExtent l="0" t="0" r="0" b="0"/>
            <wp:docPr id="3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670EC" w:rsidRDefault="001670EC" w:rsidP="00477618">
      <w:r w:rsidRPr="004C20B3">
        <w:rPr>
          <w:i/>
        </w:rPr>
        <w:t>Survey respondents frequently indicated that they don’t know about the effectiveness of current efforts to promote mental health and current efforts to prevent substance abuse.</w:t>
      </w:r>
      <w:r>
        <w:t xml:space="preserve"> As shown in Chart 12 and 13, ratings of “extremely” or “very” effective were rare; most survey respondents selected ratings of “moderately” effective or lower, and roughly one-third simply indicated that they didn’t know.  The results suggest both a poor perception of mental health and substance abuse programs in the region, as well as a possible lack of programs, given the limited knowledge of effective efforts demonstrated by a survey group primarily comprised of health care and service professionals.</w:t>
      </w:r>
    </w:p>
    <w:p w:rsidR="001670EC" w:rsidRDefault="001670EC" w:rsidP="00477618">
      <w:pPr>
        <w:jc w:val="center"/>
        <w:rPr>
          <w:b/>
        </w:rPr>
      </w:pPr>
      <w:r>
        <w:rPr>
          <w:b/>
        </w:rPr>
        <w:t>Chart 12.</w:t>
      </w:r>
      <w:r w:rsidRPr="003439B7">
        <w:rPr>
          <w:b/>
        </w:rPr>
        <w:t xml:space="preserve">Rating of effectiveness of existing efforts to promote </w:t>
      </w:r>
      <w:r>
        <w:rPr>
          <w:b/>
        </w:rPr>
        <w:t xml:space="preserve">mental </w:t>
      </w:r>
      <w:r w:rsidRPr="003439B7">
        <w:rPr>
          <w:b/>
        </w:rPr>
        <w:t>health</w:t>
      </w:r>
    </w:p>
    <w:p w:rsidR="001670EC" w:rsidRDefault="00B240D8" w:rsidP="00477618">
      <w:pPr>
        <w:jc w:val="center"/>
        <w:rPr>
          <w:b/>
        </w:rPr>
      </w:pPr>
      <w:r>
        <w:rPr>
          <w:noProof/>
        </w:rPr>
        <w:drawing>
          <wp:inline distT="0" distB="0" distL="0" distR="0">
            <wp:extent cx="4572000" cy="2743200"/>
            <wp:effectExtent l="0" t="0" r="0" b="0"/>
            <wp:docPr id="3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670EC" w:rsidRDefault="001670EC" w:rsidP="00477618">
      <w:pPr>
        <w:jc w:val="center"/>
        <w:rPr>
          <w:b/>
        </w:rPr>
      </w:pPr>
    </w:p>
    <w:p w:rsidR="001670EC" w:rsidRDefault="001670EC" w:rsidP="00477618">
      <w:pPr>
        <w:jc w:val="center"/>
        <w:rPr>
          <w:b/>
        </w:rPr>
      </w:pPr>
    </w:p>
    <w:p w:rsidR="001670EC" w:rsidRDefault="001670EC" w:rsidP="00477618">
      <w:pPr>
        <w:jc w:val="center"/>
      </w:pPr>
      <w:r>
        <w:rPr>
          <w:b/>
        </w:rPr>
        <w:t>Chart 13.</w:t>
      </w:r>
      <w:r w:rsidRPr="003439B7">
        <w:rPr>
          <w:b/>
        </w:rPr>
        <w:t xml:space="preserve">Rating of effectiveness of existing efforts to </w:t>
      </w:r>
      <w:r>
        <w:rPr>
          <w:b/>
        </w:rPr>
        <w:t>prevent substance abuse</w:t>
      </w:r>
    </w:p>
    <w:p w:rsidR="001670EC" w:rsidRPr="001E671B" w:rsidRDefault="00B240D8" w:rsidP="00477618">
      <w:pPr>
        <w:jc w:val="center"/>
      </w:pPr>
      <w:r>
        <w:rPr>
          <w:noProof/>
        </w:rPr>
        <w:drawing>
          <wp:inline distT="0" distB="0" distL="0" distR="0">
            <wp:extent cx="4572000" cy="2743200"/>
            <wp:effectExtent l="0" t="0" r="0" b="0"/>
            <wp:docPr id="3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670EC" w:rsidRDefault="001670EC" w:rsidP="00477618">
      <w:r>
        <w:t>Respondents were also asked how current regional efforts in both substance abuse prevention and mental health promotion could be improved. In a reflection of the ratings shown in Charts 12 and 13, many simply skipped the question or responded that they were unsure. For mental health promotion, a need for increasing the number of providers and screeners was often mentioned, as was the need to reduce stigma around mental illness in general. Suggestions for improving substance abuse prevention efforts were similar, with demands for increases in funding for services and additional counselors and treatment resources. Population groups identified as being in need of targeting were straightforward and obvious: a majority simply indicated people with mental health issues and people with substance abuse issues.</w:t>
      </w:r>
    </w:p>
    <w:p w:rsidR="001670EC" w:rsidRDefault="001670EC" w:rsidP="00477618">
      <w:r>
        <w:t xml:space="preserve">By a small margin, </w:t>
      </w:r>
      <w:r w:rsidRPr="00F67891">
        <w:rPr>
          <w:i/>
        </w:rPr>
        <w:t>the most common strategy for promoting mental health reported by survey respondents was in the category of education, followed by the direct provision of mental health and counseling services</w:t>
      </w:r>
      <w:r>
        <w:t xml:space="preserve"> (Table 8). The other two major types of strategies frequently listed by respondents were in the categories of assessment, screening, and referral services, and collaboration or coordination efforts with other agencies in the region.</w:t>
      </w:r>
    </w:p>
    <w:p w:rsidR="001670EC" w:rsidRDefault="001670EC" w:rsidP="00477618">
      <w:pPr>
        <w:rPr>
          <w:b/>
        </w:rPr>
      </w:pPr>
      <w:r w:rsidRPr="009F4585">
        <w:rPr>
          <w:b/>
        </w:rPr>
        <w:t>Table 8.</w:t>
      </w:r>
      <w:r w:rsidRPr="009E15A7">
        <w:rPr>
          <w:b/>
        </w:rPr>
        <w:t xml:space="preserve">Percent reported as </w:t>
      </w:r>
      <w:r>
        <w:rPr>
          <w:b/>
        </w:rPr>
        <w:t>engaged in strategy to promote mental health</w:t>
      </w:r>
    </w:p>
    <w:tbl>
      <w:tblPr>
        <w:tblW w:w="6155" w:type="dxa"/>
        <w:tblInd w:w="93" w:type="dxa"/>
        <w:tblLook w:val="00A0"/>
      </w:tblPr>
      <w:tblGrid>
        <w:gridCol w:w="5685"/>
        <w:gridCol w:w="920"/>
      </w:tblGrid>
      <w:tr w:rsidR="001670EC" w:rsidRPr="00680D98" w:rsidTr="00477618">
        <w:trPr>
          <w:trHeight w:val="300"/>
        </w:trPr>
        <w:tc>
          <w:tcPr>
            <w:tcW w:w="5685" w:type="dxa"/>
            <w:tcBorders>
              <w:top w:val="single" w:sz="4" w:space="0" w:color="auto"/>
              <w:left w:val="nil"/>
              <w:bottom w:val="single" w:sz="4" w:space="0" w:color="auto"/>
              <w:right w:val="nil"/>
            </w:tcBorders>
            <w:noWrap/>
            <w:vAlign w:val="bottom"/>
          </w:tcPr>
          <w:p w:rsidR="001670EC" w:rsidRPr="009F4585" w:rsidRDefault="001670EC" w:rsidP="00477618">
            <w:pPr>
              <w:spacing w:after="0" w:line="240" w:lineRule="auto"/>
              <w:jc w:val="center"/>
              <w:rPr>
                <w:rFonts w:cs="Calibri"/>
                <w:b/>
                <w:bCs/>
                <w:color w:val="000000"/>
              </w:rPr>
            </w:pPr>
            <w:r w:rsidRPr="009F4585">
              <w:rPr>
                <w:rFonts w:cs="Calibri"/>
                <w:b/>
                <w:bCs/>
                <w:color w:val="000000"/>
              </w:rPr>
              <w:t>Strategy</w:t>
            </w:r>
          </w:p>
        </w:tc>
        <w:tc>
          <w:tcPr>
            <w:tcW w:w="470" w:type="dxa"/>
            <w:tcBorders>
              <w:top w:val="single" w:sz="4" w:space="0" w:color="auto"/>
              <w:left w:val="nil"/>
              <w:bottom w:val="single" w:sz="4" w:space="0" w:color="auto"/>
              <w:right w:val="nil"/>
            </w:tcBorders>
            <w:noWrap/>
            <w:vAlign w:val="bottom"/>
          </w:tcPr>
          <w:p w:rsidR="001670EC" w:rsidRPr="009F4585" w:rsidRDefault="001670EC" w:rsidP="00477618">
            <w:pPr>
              <w:spacing w:after="0" w:line="240" w:lineRule="auto"/>
              <w:jc w:val="center"/>
              <w:rPr>
                <w:rFonts w:cs="Calibri"/>
                <w:b/>
                <w:bCs/>
                <w:color w:val="000000"/>
              </w:rPr>
            </w:pPr>
            <w:r w:rsidRPr="009F4585">
              <w:rPr>
                <w:rFonts w:cs="Calibri"/>
                <w:b/>
                <w:bCs/>
                <w:color w:val="000000"/>
              </w:rPr>
              <w:t xml:space="preserve">Percent </w:t>
            </w:r>
          </w:p>
        </w:tc>
      </w:tr>
      <w:tr w:rsidR="001670EC" w:rsidRPr="00680D98" w:rsidTr="00477618">
        <w:trPr>
          <w:trHeight w:val="242"/>
        </w:trPr>
        <w:tc>
          <w:tcPr>
            <w:tcW w:w="5685" w:type="dxa"/>
            <w:tcBorders>
              <w:top w:val="nil"/>
              <w:left w:val="nil"/>
              <w:bottom w:val="nil"/>
              <w:right w:val="nil"/>
            </w:tcBorders>
          </w:tcPr>
          <w:p w:rsidR="001670EC" w:rsidRPr="009F4585" w:rsidRDefault="001670EC" w:rsidP="00477618">
            <w:pPr>
              <w:spacing w:after="0" w:line="240" w:lineRule="auto"/>
              <w:rPr>
                <w:rFonts w:cs="Calibri"/>
                <w:color w:val="000000"/>
              </w:rPr>
            </w:pPr>
            <w:r w:rsidRPr="009F4585">
              <w:rPr>
                <w:rFonts w:cs="Calibri"/>
                <w:color w:val="000000"/>
              </w:rPr>
              <w:t>Education (Mental health awareness, training for providers)</w:t>
            </w:r>
          </w:p>
        </w:tc>
        <w:tc>
          <w:tcPr>
            <w:tcW w:w="470" w:type="dxa"/>
            <w:tcBorders>
              <w:top w:val="nil"/>
              <w:left w:val="nil"/>
              <w:bottom w:val="nil"/>
              <w:right w:val="nil"/>
            </w:tcBorders>
            <w:noWrap/>
          </w:tcPr>
          <w:p w:rsidR="001670EC" w:rsidRPr="009F4585" w:rsidRDefault="001670EC" w:rsidP="00477618">
            <w:pPr>
              <w:spacing w:after="0" w:line="240" w:lineRule="auto"/>
              <w:jc w:val="right"/>
              <w:rPr>
                <w:rFonts w:cs="Calibri"/>
                <w:color w:val="000000"/>
              </w:rPr>
            </w:pPr>
            <w:r>
              <w:rPr>
                <w:rFonts w:cs="Calibri"/>
                <w:color w:val="000000"/>
              </w:rPr>
              <w:t>32.4</w:t>
            </w:r>
          </w:p>
        </w:tc>
      </w:tr>
      <w:tr w:rsidR="001670EC" w:rsidRPr="00680D98" w:rsidTr="00477618">
        <w:trPr>
          <w:trHeight w:val="243"/>
        </w:trPr>
        <w:tc>
          <w:tcPr>
            <w:tcW w:w="5685" w:type="dxa"/>
            <w:tcBorders>
              <w:top w:val="nil"/>
              <w:left w:val="nil"/>
              <w:bottom w:val="nil"/>
              <w:right w:val="nil"/>
            </w:tcBorders>
          </w:tcPr>
          <w:p w:rsidR="001670EC" w:rsidRPr="009F4585" w:rsidRDefault="001670EC" w:rsidP="00477618">
            <w:pPr>
              <w:spacing w:after="0" w:line="240" w:lineRule="auto"/>
              <w:rPr>
                <w:rFonts w:cs="Calibri"/>
                <w:color w:val="000000"/>
              </w:rPr>
            </w:pPr>
            <w:r w:rsidRPr="009F4585">
              <w:rPr>
                <w:rFonts w:cs="Calibri"/>
                <w:color w:val="000000"/>
              </w:rPr>
              <w:t>Counseling, behavioral health care, and clinical services</w:t>
            </w:r>
          </w:p>
        </w:tc>
        <w:tc>
          <w:tcPr>
            <w:tcW w:w="470" w:type="dxa"/>
            <w:tcBorders>
              <w:top w:val="nil"/>
              <w:left w:val="nil"/>
              <w:bottom w:val="nil"/>
              <w:right w:val="nil"/>
            </w:tcBorders>
            <w:noWrap/>
          </w:tcPr>
          <w:p w:rsidR="001670EC" w:rsidRPr="009F4585" w:rsidRDefault="001670EC" w:rsidP="00477618">
            <w:pPr>
              <w:spacing w:after="0" w:line="240" w:lineRule="auto"/>
              <w:jc w:val="right"/>
              <w:rPr>
                <w:rFonts w:cs="Calibri"/>
                <w:color w:val="000000"/>
              </w:rPr>
            </w:pPr>
            <w:r>
              <w:rPr>
                <w:rFonts w:cs="Calibri"/>
                <w:color w:val="000000"/>
              </w:rPr>
              <w:t>31.4</w:t>
            </w:r>
          </w:p>
        </w:tc>
      </w:tr>
      <w:tr w:rsidR="001670EC" w:rsidRPr="00680D98" w:rsidTr="00477618">
        <w:trPr>
          <w:trHeight w:val="300"/>
        </w:trPr>
        <w:tc>
          <w:tcPr>
            <w:tcW w:w="5685" w:type="dxa"/>
            <w:tcBorders>
              <w:top w:val="nil"/>
              <w:left w:val="nil"/>
              <w:bottom w:val="nil"/>
              <w:right w:val="nil"/>
            </w:tcBorders>
          </w:tcPr>
          <w:p w:rsidR="001670EC" w:rsidRPr="009F4585" w:rsidRDefault="001670EC" w:rsidP="00477618">
            <w:pPr>
              <w:spacing w:after="0" w:line="240" w:lineRule="auto"/>
              <w:rPr>
                <w:rFonts w:cs="Calibri"/>
                <w:color w:val="000000"/>
              </w:rPr>
            </w:pPr>
            <w:r w:rsidRPr="009F4585">
              <w:rPr>
                <w:rFonts w:cs="Calibri"/>
                <w:color w:val="000000"/>
              </w:rPr>
              <w:t>Assessment, screening, and referrals</w:t>
            </w:r>
          </w:p>
        </w:tc>
        <w:tc>
          <w:tcPr>
            <w:tcW w:w="470" w:type="dxa"/>
            <w:tcBorders>
              <w:top w:val="nil"/>
              <w:left w:val="nil"/>
              <w:bottom w:val="nil"/>
              <w:right w:val="nil"/>
            </w:tcBorders>
            <w:noWrap/>
          </w:tcPr>
          <w:p w:rsidR="001670EC" w:rsidRPr="009F4585" w:rsidRDefault="001670EC" w:rsidP="00477618">
            <w:pPr>
              <w:spacing w:after="0" w:line="240" w:lineRule="auto"/>
              <w:jc w:val="right"/>
              <w:rPr>
                <w:rFonts w:cs="Calibri"/>
                <w:color w:val="000000"/>
              </w:rPr>
            </w:pPr>
            <w:r>
              <w:rPr>
                <w:rFonts w:cs="Calibri"/>
                <w:color w:val="000000"/>
              </w:rPr>
              <w:t>21.6</w:t>
            </w:r>
          </w:p>
        </w:tc>
      </w:tr>
      <w:tr w:rsidR="001670EC" w:rsidRPr="00680D98" w:rsidTr="00477618">
        <w:trPr>
          <w:trHeight w:val="600"/>
        </w:trPr>
        <w:tc>
          <w:tcPr>
            <w:tcW w:w="5685" w:type="dxa"/>
            <w:tcBorders>
              <w:top w:val="nil"/>
              <w:left w:val="nil"/>
              <w:bottom w:val="nil"/>
              <w:right w:val="nil"/>
            </w:tcBorders>
          </w:tcPr>
          <w:p w:rsidR="001670EC" w:rsidRPr="009F4585" w:rsidRDefault="001670EC" w:rsidP="00477618">
            <w:pPr>
              <w:spacing w:after="0" w:line="240" w:lineRule="auto"/>
              <w:rPr>
                <w:rFonts w:cs="Calibri"/>
                <w:color w:val="000000"/>
              </w:rPr>
            </w:pPr>
            <w:r w:rsidRPr="009F4585">
              <w:rPr>
                <w:rFonts w:cs="Calibri"/>
                <w:color w:val="000000"/>
              </w:rPr>
              <w:t>Collaboration, coordination with regional mental health programs and service providers</w:t>
            </w:r>
          </w:p>
        </w:tc>
        <w:tc>
          <w:tcPr>
            <w:tcW w:w="470" w:type="dxa"/>
            <w:tcBorders>
              <w:top w:val="nil"/>
              <w:left w:val="nil"/>
              <w:bottom w:val="nil"/>
              <w:right w:val="nil"/>
            </w:tcBorders>
            <w:noWrap/>
          </w:tcPr>
          <w:p w:rsidR="001670EC" w:rsidRPr="009F4585" w:rsidRDefault="001670EC" w:rsidP="00477618">
            <w:pPr>
              <w:spacing w:after="0" w:line="240" w:lineRule="auto"/>
              <w:jc w:val="right"/>
              <w:rPr>
                <w:rFonts w:cs="Calibri"/>
                <w:color w:val="000000"/>
              </w:rPr>
            </w:pPr>
            <w:r>
              <w:rPr>
                <w:rFonts w:cs="Calibri"/>
                <w:color w:val="000000"/>
              </w:rPr>
              <w:t>18.6</w:t>
            </w:r>
          </w:p>
        </w:tc>
      </w:tr>
      <w:tr w:rsidR="001670EC" w:rsidRPr="00680D98" w:rsidTr="00477618">
        <w:trPr>
          <w:trHeight w:val="300"/>
        </w:trPr>
        <w:tc>
          <w:tcPr>
            <w:tcW w:w="5685" w:type="dxa"/>
            <w:tcBorders>
              <w:top w:val="nil"/>
              <w:left w:val="nil"/>
              <w:bottom w:val="single" w:sz="4" w:space="0" w:color="auto"/>
              <w:right w:val="nil"/>
            </w:tcBorders>
          </w:tcPr>
          <w:p w:rsidR="001670EC" w:rsidRPr="009F4585" w:rsidRDefault="001670EC" w:rsidP="00477618">
            <w:pPr>
              <w:spacing w:after="0" w:line="240" w:lineRule="auto"/>
              <w:rPr>
                <w:rFonts w:cs="Calibri"/>
                <w:color w:val="000000"/>
              </w:rPr>
            </w:pPr>
            <w:r w:rsidRPr="009F4585">
              <w:rPr>
                <w:rFonts w:cs="Calibri"/>
                <w:color w:val="000000"/>
              </w:rPr>
              <w:t>Other</w:t>
            </w:r>
          </w:p>
        </w:tc>
        <w:tc>
          <w:tcPr>
            <w:tcW w:w="470" w:type="dxa"/>
            <w:tcBorders>
              <w:top w:val="nil"/>
              <w:left w:val="nil"/>
              <w:bottom w:val="single" w:sz="4" w:space="0" w:color="auto"/>
              <w:right w:val="nil"/>
            </w:tcBorders>
            <w:noWrap/>
          </w:tcPr>
          <w:p w:rsidR="001670EC" w:rsidRPr="009F4585" w:rsidRDefault="001670EC" w:rsidP="00477618">
            <w:pPr>
              <w:spacing w:after="0" w:line="240" w:lineRule="auto"/>
              <w:jc w:val="right"/>
              <w:rPr>
                <w:rFonts w:cs="Calibri"/>
                <w:color w:val="000000"/>
              </w:rPr>
            </w:pPr>
            <w:r>
              <w:rPr>
                <w:rFonts w:cs="Calibri"/>
                <w:color w:val="000000"/>
              </w:rPr>
              <w:t>26.5</w:t>
            </w:r>
          </w:p>
        </w:tc>
      </w:tr>
    </w:tbl>
    <w:p w:rsidR="001670EC" w:rsidRPr="009F4585" w:rsidRDefault="001670EC" w:rsidP="00477618"/>
    <w:p w:rsidR="001670EC" w:rsidRDefault="001670EC" w:rsidP="00477618">
      <w:r>
        <w:t xml:space="preserve">As shown in Table 9, </w:t>
      </w:r>
      <w:r w:rsidRPr="00F67891">
        <w:rPr>
          <w:i/>
        </w:rPr>
        <w:t>the most common substance abuse prevention strategy was education, cited by 56 percent of respondents</w:t>
      </w:r>
      <w:r>
        <w:t>. Examples of educational strategies included prevention programs targeting children, materials explaining the dangers of substance abuse, and training on identifying and dealing with substance abusers in the community.  Coordination or collaboration with other agencies was the second most common strategy, with roughly one-in-five respondents indicating their agency primarily worked with other organizations to address substance abuse. In general, it appears that direct approaches to treating substance abuse are not common in the region; screening and referral services, as well as direct counseling or clinical treatment services, were each only cited by 13.2 percent of survey takers that indicated agency efforts in the substance abuse area.</w:t>
      </w:r>
    </w:p>
    <w:p w:rsidR="001670EC" w:rsidRDefault="001670EC" w:rsidP="00477618">
      <w:pPr>
        <w:rPr>
          <w:b/>
        </w:rPr>
      </w:pPr>
      <w:r>
        <w:rPr>
          <w:b/>
        </w:rPr>
        <w:t>Table 9</w:t>
      </w:r>
      <w:r w:rsidRPr="009F4585">
        <w:rPr>
          <w:b/>
        </w:rPr>
        <w:t>.</w:t>
      </w:r>
      <w:r w:rsidRPr="009E15A7">
        <w:rPr>
          <w:b/>
        </w:rPr>
        <w:t xml:space="preserve">Percent reported as </w:t>
      </w:r>
      <w:r>
        <w:rPr>
          <w:b/>
        </w:rPr>
        <w:t>engaged in strategy to prevent substance abuse</w:t>
      </w:r>
    </w:p>
    <w:tbl>
      <w:tblPr>
        <w:tblW w:w="6155" w:type="dxa"/>
        <w:tblInd w:w="93" w:type="dxa"/>
        <w:tblLook w:val="00A0"/>
      </w:tblPr>
      <w:tblGrid>
        <w:gridCol w:w="5919"/>
        <w:gridCol w:w="920"/>
      </w:tblGrid>
      <w:tr w:rsidR="001670EC" w:rsidRPr="00680D98" w:rsidTr="00477618">
        <w:trPr>
          <w:trHeight w:val="300"/>
        </w:trPr>
        <w:tc>
          <w:tcPr>
            <w:tcW w:w="5919" w:type="dxa"/>
            <w:tcBorders>
              <w:top w:val="single" w:sz="4" w:space="0" w:color="auto"/>
              <w:left w:val="nil"/>
              <w:bottom w:val="single" w:sz="4" w:space="0" w:color="auto"/>
              <w:right w:val="nil"/>
            </w:tcBorders>
            <w:noWrap/>
            <w:vAlign w:val="bottom"/>
          </w:tcPr>
          <w:p w:rsidR="001670EC" w:rsidRPr="00394D0B" w:rsidRDefault="001670EC" w:rsidP="00477618">
            <w:pPr>
              <w:spacing w:after="0" w:line="240" w:lineRule="auto"/>
              <w:jc w:val="center"/>
              <w:rPr>
                <w:rFonts w:cs="Calibri"/>
                <w:b/>
                <w:bCs/>
                <w:color w:val="000000"/>
              </w:rPr>
            </w:pPr>
            <w:r w:rsidRPr="00394D0B">
              <w:rPr>
                <w:rFonts w:cs="Calibri"/>
                <w:b/>
                <w:bCs/>
                <w:color w:val="000000"/>
              </w:rPr>
              <w:t>Strategy</w:t>
            </w:r>
          </w:p>
        </w:tc>
        <w:tc>
          <w:tcPr>
            <w:tcW w:w="236" w:type="dxa"/>
            <w:tcBorders>
              <w:top w:val="single" w:sz="4" w:space="0" w:color="auto"/>
              <w:left w:val="nil"/>
              <w:bottom w:val="single" w:sz="4" w:space="0" w:color="auto"/>
              <w:right w:val="nil"/>
            </w:tcBorders>
            <w:noWrap/>
            <w:vAlign w:val="bottom"/>
          </w:tcPr>
          <w:p w:rsidR="001670EC" w:rsidRPr="00394D0B" w:rsidRDefault="001670EC" w:rsidP="00477618">
            <w:pPr>
              <w:spacing w:after="0" w:line="240" w:lineRule="auto"/>
              <w:jc w:val="center"/>
              <w:rPr>
                <w:rFonts w:cs="Calibri"/>
                <w:b/>
                <w:bCs/>
                <w:color w:val="000000"/>
              </w:rPr>
            </w:pPr>
            <w:r w:rsidRPr="00394D0B">
              <w:rPr>
                <w:rFonts w:cs="Calibri"/>
                <w:b/>
                <w:bCs/>
                <w:color w:val="000000"/>
              </w:rPr>
              <w:t xml:space="preserve">Percent </w:t>
            </w:r>
          </w:p>
        </w:tc>
      </w:tr>
      <w:tr w:rsidR="001670EC" w:rsidRPr="00680D98" w:rsidTr="00477618">
        <w:trPr>
          <w:trHeight w:val="215"/>
        </w:trPr>
        <w:tc>
          <w:tcPr>
            <w:tcW w:w="5919" w:type="dxa"/>
            <w:tcBorders>
              <w:top w:val="nil"/>
              <w:left w:val="nil"/>
              <w:bottom w:val="nil"/>
              <w:right w:val="nil"/>
            </w:tcBorders>
          </w:tcPr>
          <w:p w:rsidR="001670EC" w:rsidRPr="00394D0B" w:rsidRDefault="001670EC" w:rsidP="00477618">
            <w:pPr>
              <w:spacing w:after="0" w:line="240" w:lineRule="auto"/>
              <w:rPr>
                <w:rFonts w:cs="Calibri"/>
                <w:color w:val="000000"/>
              </w:rPr>
            </w:pPr>
            <w:r w:rsidRPr="00394D0B">
              <w:rPr>
                <w:rFonts w:cs="Calibri"/>
                <w:color w:val="000000"/>
              </w:rPr>
              <w:t>Education (awareness, prevention, and identification materials)</w:t>
            </w:r>
          </w:p>
        </w:tc>
        <w:tc>
          <w:tcPr>
            <w:tcW w:w="236" w:type="dxa"/>
            <w:tcBorders>
              <w:top w:val="nil"/>
              <w:left w:val="nil"/>
              <w:bottom w:val="nil"/>
              <w:right w:val="nil"/>
            </w:tcBorders>
            <w:noWrap/>
          </w:tcPr>
          <w:p w:rsidR="001670EC" w:rsidRPr="00394D0B" w:rsidRDefault="001670EC" w:rsidP="00477618">
            <w:pPr>
              <w:spacing w:after="0" w:line="240" w:lineRule="auto"/>
              <w:jc w:val="right"/>
              <w:rPr>
                <w:rFonts w:cs="Calibri"/>
                <w:color w:val="000000"/>
              </w:rPr>
            </w:pPr>
            <w:r>
              <w:rPr>
                <w:rFonts w:cs="Calibri"/>
                <w:color w:val="000000"/>
              </w:rPr>
              <w:t>56.0</w:t>
            </w:r>
          </w:p>
        </w:tc>
      </w:tr>
      <w:tr w:rsidR="001670EC" w:rsidRPr="00680D98" w:rsidTr="00477618">
        <w:trPr>
          <w:trHeight w:val="477"/>
        </w:trPr>
        <w:tc>
          <w:tcPr>
            <w:tcW w:w="5919" w:type="dxa"/>
            <w:tcBorders>
              <w:top w:val="nil"/>
              <w:left w:val="nil"/>
              <w:bottom w:val="nil"/>
              <w:right w:val="nil"/>
            </w:tcBorders>
          </w:tcPr>
          <w:p w:rsidR="001670EC" w:rsidRPr="00394D0B" w:rsidRDefault="001670EC" w:rsidP="00477618">
            <w:pPr>
              <w:spacing w:after="0" w:line="240" w:lineRule="auto"/>
              <w:rPr>
                <w:rFonts w:cs="Calibri"/>
                <w:color w:val="000000"/>
              </w:rPr>
            </w:pPr>
            <w:r w:rsidRPr="00394D0B">
              <w:rPr>
                <w:rFonts w:cs="Calibri"/>
                <w:color w:val="000000"/>
              </w:rPr>
              <w:t>Coordination and collaboration efforts with other agencies and programs</w:t>
            </w:r>
          </w:p>
        </w:tc>
        <w:tc>
          <w:tcPr>
            <w:tcW w:w="236" w:type="dxa"/>
            <w:tcBorders>
              <w:top w:val="nil"/>
              <w:left w:val="nil"/>
              <w:bottom w:val="nil"/>
              <w:right w:val="nil"/>
            </w:tcBorders>
            <w:noWrap/>
          </w:tcPr>
          <w:p w:rsidR="001670EC" w:rsidRPr="00394D0B" w:rsidRDefault="001670EC" w:rsidP="00477618">
            <w:pPr>
              <w:spacing w:after="0" w:line="240" w:lineRule="auto"/>
              <w:jc w:val="right"/>
              <w:rPr>
                <w:rFonts w:cs="Calibri"/>
                <w:color w:val="000000"/>
              </w:rPr>
            </w:pPr>
            <w:r>
              <w:rPr>
                <w:rFonts w:cs="Calibri"/>
                <w:color w:val="000000"/>
              </w:rPr>
              <w:t>20.9</w:t>
            </w:r>
          </w:p>
        </w:tc>
      </w:tr>
      <w:tr w:rsidR="001670EC" w:rsidRPr="00680D98" w:rsidTr="00477618">
        <w:trPr>
          <w:trHeight w:val="297"/>
        </w:trPr>
        <w:tc>
          <w:tcPr>
            <w:tcW w:w="5919" w:type="dxa"/>
            <w:tcBorders>
              <w:top w:val="nil"/>
              <w:left w:val="nil"/>
              <w:bottom w:val="nil"/>
              <w:right w:val="nil"/>
            </w:tcBorders>
          </w:tcPr>
          <w:p w:rsidR="001670EC" w:rsidRPr="00394D0B" w:rsidRDefault="001670EC" w:rsidP="00477618">
            <w:pPr>
              <w:spacing w:after="0" w:line="240" w:lineRule="auto"/>
              <w:rPr>
                <w:rFonts w:cs="Calibri"/>
                <w:color w:val="000000"/>
              </w:rPr>
            </w:pPr>
            <w:r w:rsidRPr="00394D0B">
              <w:rPr>
                <w:rFonts w:cs="Calibri"/>
                <w:color w:val="000000"/>
              </w:rPr>
              <w:t>Screening and referrals to substance abuse treatment services</w:t>
            </w:r>
          </w:p>
        </w:tc>
        <w:tc>
          <w:tcPr>
            <w:tcW w:w="236" w:type="dxa"/>
            <w:tcBorders>
              <w:top w:val="nil"/>
              <w:left w:val="nil"/>
              <w:bottom w:val="nil"/>
              <w:right w:val="nil"/>
            </w:tcBorders>
            <w:noWrap/>
          </w:tcPr>
          <w:p w:rsidR="001670EC" w:rsidRPr="00394D0B" w:rsidRDefault="001670EC" w:rsidP="00477618">
            <w:pPr>
              <w:spacing w:after="0" w:line="240" w:lineRule="auto"/>
              <w:jc w:val="right"/>
              <w:rPr>
                <w:rFonts w:cs="Calibri"/>
                <w:color w:val="000000"/>
              </w:rPr>
            </w:pPr>
            <w:r>
              <w:rPr>
                <w:rFonts w:cs="Calibri"/>
                <w:color w:val="000000"/>
              </w:rPr>
              <w:t>13.2</w:t>
            </w:r>
          </w:p>
        </w:tc>
      </w:tr>
      <w:tr w:rsidR="001670EC" w:rsidRPr="00680D98" w:rsidTr="00477618">
        <w:trPr>
          <w:trHeight w:val="270"/>
        </w:trPr>
        <w:tc>
          <w:tcPr>
            <w:tcW w:w="5919" w:type="dxa"/>
            <w:tcBorders>
              <w:top w:val="nil"/>
              <w:left w:val="nil"/>
              <w:bottom w:val="nil"/>
              <w:right w:val="nil"/>
            </w:tcBorders>
          </w:tcPr>
          <w:p w:rsidR="001670EC" w:rsidRPr="00394D0B" w:rsidRDefault="001670EC" w:rsidP="00477618">
            <w:pPr>
              <w:spacing w:after="0" w:line="240" w:lineRule="auto"/>
              <w:rPr>
                <w:rFonts w:cs="Calibri"/>
                <w:color w:val="000000"/>
              </w:rPr>
            </w:pPr>
            <w:r w:rsidRPr="00394D0B">
              <w:rPr>
                <w:rFonts w:cs="Calibri"/>
                <w:color w:val="000000"/>
              </w:rPr>
              <w:t>Substance abuse treatment and counseling services</w:t>
            </w:r>
          </w:p>
        </w:tc>
        <w:tc>
          <w:tcPr>
            <w:tcW w:w="236" w:type="dxa"/>
            <w:tcBorders>
              <w:top w:val="nil"/>
              <w:left w:val="nil"/>
              <w:bottom w:val="nil"/>
              <w:right w:val="nil"/>
            </w:tcBorders>
            <w:noWrap/>
          </w:tcPr>
          <w:p w:rsidR="001670EC" w:rsidRPr="00394D0B" w:rsidRDefault="001670EC" w:rsidP="00477618">
            <w:pPr>
              <w:spacing w:after="0" w:line="240" w:lineRule="auto"/>
              <w:jc w:val="right"/>
              <w:rPr>
                <w:rFonts w:cs="Calibri"/>
                <w:color w:val="000000"/>
              </w:rPr>
            </w:pPr>
            <w:r>
              <w:rPr>
                <w:rFonts w:cs="Calibri"/>
                <w:color w:val="000000"/>
              </w:rPr>
              <w:t>13.2</w:t>
            </w:r>
          </w:p>
        </w:tc>
      </w:tr>
      <w:tr w:rsidR="001670EC" w:rsidRPr="00680D98" w:rsidTr="00477618">
        <w:trPr>
          <w:trHeight w:val="270"/>
        </w:trPr>
        <w:tc>
          <w:tcPr>
            <w:tcW w:w="5919" w:type="dxa"/>
            <w:tcBorders>
              <w:top w:val="nil"/>
              <w:left w:val="nil"/>
              <w:bottom w:val="nil"/>
              <w:right w:val="nil"/>
            </w:tcBorders>
          </w:tcPr>
          <w:p w:rsidR="001670EC" w:rsidRPr="00394D0B" w:rsidRDefault="001670EC" w:rsidP="00477618">
            <w:pPr>
              <w:spacing w:after="0" w:line="240" w:lineRule="auto"/>
              <w:rPr>
                <w:rFonts w:cs="Calibri"/>
                <w:color w:val="000000"/>
              </w:rPr>
            </w:pPr>
            <w:r w:rsidRPr="00394D0B">
              <w:rPr>
                <w:rFonts w:cs="Calibri"/>
                <w:color w:val="000000"/>
              </w:rPr>
              <w:t>Policy advocacy, develop or implement regulations</w:t>
            </w:r>
          </w:p>
        </w:tc>
        <w:tc>
          <w:tcPr>
            <w:tcW w:w="236" w:type="dxa"/>
            <w:tcBorders>
              <w:top w:val="nil"/>
              <w:left w:val="nil"/>
              <w:bottom w:val="nil"/>
              <w:right w:val="nil"/>
            </w:tcBorders>
            <w:noWrap/>
          </w:tcPr>
          <w:p w:rsidR="001670EC" w:rsidRPr="00394D0B" w:rsidRDefault="001670EC" w:rsidP="00477618">
            <w:pPr>
              <w:spacing w:after="0" w:line="240" w:lineRule="auto"/>
              <w:jc w:val="right"/>
              <w:rPr>
                <w:rFonts w:cs="Calibri"/>
                <w:color w:val="000000"/>
              </w:rPr>
            </w:pPr>
            <w:r>
              <w:rPr>
                <w:rFonts w:cs="Calibri"/>
                <w:color w:val="000000"/>
              </w:rPr>
              <w:t>8.8</w:t>
            </w:r>
          </w:p>
        </w:tc>
      </w:tr>
      <w:tr w:rsidR="001670EC" w:rsidRPr="00680D98" w:rsidTr="00477618">
        <w:trPr>
          <w:trHeight w:val="300"/>
        </w:trPr>
        <w:tc>
          <w:tcPr>
            <w:tcW w:w="5919" w:type="dxa"/>
            <w:tcBorders>
              <w:top w:val="nil"/>
              <w:left w:val="nil"/>
              <w:bottom w:val="single" w:sz="4" w:space="0" w:color="auto"/>
              <w:right w:val="nil"/>
            </w:tcBorders>
            <w:noWrap/>
          </w:tcPr>
          <w:p w:rsidR="001670EC" w:rsidRPr="00394D0B" w:rsidRDefault="001670EC" w:rsidP="00477618">
            <w:pPr>
              <w:spacing w:after="0" w:line="240" w:lineRule="auto"/>
              <w:rPr>
                <w:rFonts w:cs="Calibri"/>
                <w:color w:val="000000"/>
              </w:rPr>
            </w:pPr>
            <w:r w:rsidRPr="00394D0B">
              <w:rPr>
                <w:rFonts w:cs="Calibri"/>
                <w:color w:val="000000"/>
              </w:rPr>
              <w:t>Other</w:t>
            </w:r>
          </w:p>
        </w:tc>
        <w:tc>
          <w:tcPr>
            <w:tcW w:w="236" w:type="dxa"/>
            <w:tcBorders>
              <w:top w:val="nil"/>
              <w:left w:val="nil"/>
              <w:bottom w:val="single" w:sz="4" w:space="0" w:color="auto"/>
              <w:right w:val="nil"/>
            </w:tcBorders>
            <w:noWrap/>
          </w:tcPr>
          <w:p w:rsidR="001670EC" w:rsidRPr="00394D0B" w:rsidRDefault="001670EC" w:rsidP="00477618">
            <w:pPr>
              <w:spacing w:after="0" w:line="240" w:lineRule="auto"/>
              <w:jc w:val="right"/>
              <w:rPr>
                <w:rFonts w:cs="Calibri"/>
                <w:color w:val="000000"/>
              </w:rPr>
            </w:pPr>
            <w:r>
              <w:rPr>
                <w:rFonts w:cs="Calibri"/>
                <w:color w:val="000000"/>
              </w:rPr>
              <w:t>17.6</w:t>
            </w:r>
          </w:p>
        </w:tc>
      </w:tr>
    </w:tbl>
    <w:p w:rsidR="001670EC" w:rsidRDefault="001670EC" w:rsidP="00477618"/>
    <w:p w:rsidR="001670EC" w:rsidRDefault="001670EC" w:rsidP="00477618">
      <w:pPr>
        <w:pStyle w:val="Heading4"/>
      </w:pPr>
      <w:bookmarkStart w:id="72" w:name="_Toc352677323"/>
      <w:r>
        <w:t>Area 5: Prevent HIV, STIs, and vaccine preventable diseases</w:t>
      </w:r>
      <w:bookmarkEnd w:id="72"/>
    </w:p>
    <w:p w:rsidR="001670EC" w:rsidRDefault="001670EC" w:rsidP="00477618">
      <w:r w:rsidRPr="00F67891">
        <w:rPr>
          <w:i/>
        </w:rPr>
        <w:t>As a priority area, HIV, STI, and vaccine preventable diseases was rated by survey respondents as a less serious problem relative to issues in the other four priority areas</w:t>
      </w:r>
      <w:r>
        <w:t>. This corresponds with the findings, discussed earlier, that the area of HIV, STI, and vaccine preventable diseases had both the lowest level of current efforts from surveyed agencies, as well as the lowest level of interest for potential collaboration if selected as a priority area for the region (Chart 2 &amp; 3).</w:t>
      </w:r>
    </w:p>
    <w:p w:rsidR="001670EC" w:rsidRDefault="001670EC" w:rsidP="00477618">
      <w:r>
        <w:t>Not surprisingly, given the lower level of involvement and interest in the issue area, fully 47.3 percent indicated that they did not know enough to rate the severity of the problem in the region (Chart 14). Among those that did provide a rating, the most popular choices were moderately or minimally serious; less than 1 percent of respondents indicated that HIV, STIs, and vaccine-treatable diseases are an extremely serious problem.</w:t>
      </w:r>
    </w:p>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 w:rsidR="001670EC" w:rsidRDefault="001670EC" w:rsidP="00477618">
      <w:pPr>
        <w:jc w:val="center"/>
        <w:rPr>
          <w:b/>
        </w:rPr>
      </w:pPr>
      <w:r>
        <w:rPr>
          <w:b/>
        </w:rPr>
        <w:t>Chart 14. Rating of severity of HIV, STIs and vaccine preventable diseases as a problem by share of respondents</w:t>
      </w:r>
    </w:p>
    <w:p w:rsidR="001670EC" w:rsidRDefault="00B240D8" w:rsidP="00477618">
      <w:pPr>
        <w:jc w:val="center"/>
        <w:rPr>
          <w:b/>
        </w:rPr>
      </w:pPr>
      <w:r>
        <w:rPr>
          <w:noProof/>
        </w:rPr>
        <w:drawing>
          <wp:inline distT="0" distB="0" distL="0" distR="0">
            <wp:extent cx="4572000" cy="2634615"/>
            <wp:effectExtent l="0" t="0" r="0" b="0"/>
            <wp:docPr id="39"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59"/>
                    <a:srcRect l="-1685" t="-3093" r="-3795" b="-3810"/>
                    <a:stretch>
                      <a:fillRect/>
                    </a:stretch>
                  </pic:blipFill>
                  <pic:spPr bwMode="auto">
                    <a:xfrm>
                      <a:off x="0" y="0"/>
                      <a:ext cx="4572000" cy="2634615"/>
                    </a:xfrm>
                    <a:prstGeom prst="rect">
                      <a:avLst/>
                    </a:prstGeom>
                    <a:noFill/>
                    <a:ln w="9525">
                      <a:noFill/>
                      <a:miter lim="800000"/>
                      <a:headEnd/>
                      <a:tailEnd/>
                    </a:ln>
                  </pic:spPr>
                </pic:pic>
              </a:graphicData>
            </a:graphic>
          </wp:inline>
        </w:drawing>
      </w:r>
    </w:p>
    <w:p w:rsidR="001670EC" w:rsidRDefault="001670EC" w:rsidP="00477618">
      <w:r>
        <w:t xml:space="preserve">In addition to not being aware of the extent that HIV, STIs, and vaccine preventable diseases are a problem in the region, survey respondents also broadly indicated that they were not knowledgeable about the effectiveness of any existing efforts to address the problem. A majority of respondents could not rate the effectiveness and most of those that could selected only a moderate rating (Chart 15). The response pattern on this question indicates that health care and service agency stakeholders in the region are less aware of both regional need and current efforts related to this priority area than for any of the four other priority areas. </w:t>
      </w:r>
    </w:p>
    <w:p w:rsidR="001670EC" w:rsidRDefault="001670EC" w:rsidP="00477618">
      <w:r>
        <w:t>When queried about areas for improvement, education and awareness were frequent themes; however, more than one respondent indicated that they did not feel that HIV or other similar ailments were a widespread problem for the region.  Some also mentioned that there was a need for better data on the extent of the problem for the region. Responses to the question about what populations were in need of targeting also revealed a lack of knowledge about the subject, with “don’t know” being the third most popular response behind children and adolescents, and women of reproductive age.</w:t>
      </w:r>
    </w:p>
    <w:p w:rsidR="001670EC" w:rsidRDefault="001670EC" w:rsidP="00477618">
      <w:r w:rsidRPr="003B2AA1">
        <w:rPr>
          <w:i/>
        </w:rPr>
        <w:t>For respondents that indicated that their agency is involved with an HIV, STI, or vaccine preventable disease efforts, the most common strategy employed was education, followed by screening, testing, and referral services, and offering immunization clinics</w:t>
      </w:r>
      <w:r>
        <w:t xml:space="preserve"> (Table 10). A few others also indicated that compliance with regulations to prevent disease transmission was a strategy, and a few also indicated that their agency provides clinical services to treat HIV, STIs, or other vaccine preventable diseases.</w:t>
      </w:r>
    </w:p>
    <w:p w:rsidR="001670EC" w:rsidRDefault="001670EC" w:rsidP="00477618"/>
    <w:p w:rsidR="001670EC" w:rsidRDefault="001670EC" w:rsidP="00477618"/>
    <w:p w:rsidR="001670EC" w:rsidRDefault="001670EC" w:rsidP="00477618"/>
    <w:p w:rsidR="001670EC" w:rsidRDefault="001670EC" w:rsidP="00477618">
      <w:pPr>
        <w:jc w:val="center"/>
        <w:rPr>
          <w:b/>
        </w:rPr>
      </w:pPr>
      <w:r>
        <w:rPr>
          <w:b/>
        </w:rPr>
        <w:t>Chart 15.</w:t>
      </w:r>
      <w:r w:rsidRPr="003439B7">
        <w:rPr>
          <w:b/>
        </w:rPr>
        <w:t xml:space="preserve">Rating of effectiveness of </w:t>
      </w:r>
      <w:r>
        <w:rPr>
          <w:b/>
        </w:rPr>
        <w:t>current</w:t>
      </w:r>
      <w:r w:rsidRPr="003439B7">
        <w:rPr>
          <w:b/>
        </w:rPr>
        <w:t xml:space="preserve"> efforts to </w:t>
      </w:r>
      <w:r>
        <w:rPr>
          <w:b/>
        </w:rPr>
        <w:t>prevent HIV, STIs, &amp; vaccine preventable disease</w:t>
      </w:r>
    </w:p>
    <w:p w:rsidR="001670EC" w:rsidRDefault="00B240D8" w:rsidP="00477618">
      <w:pPr>
        <w:jc w:val="center"/>
      </w:pPr>
      <w:r>
        <w:rPr>
          <w:noProof/>
        </w:rPr>
        <w:drawing>
          <wp:inline distT="0" distB="0" distL="0" distR="0">
            <wp:extent cx="4572000" cy="2743200"/>
            <wp:effectExtent l="0" t="0" r="0" b="0"/>
            <wp:docPr id="40"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60"/>
                    <a:srcRect l="-1685" t="-3580" r="-3795" b="-3828"/>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670EC" w:rsidRDefault="001670EC" w:rsidP="00477618">
      <w:r w:rsidRPr="00FC0BA3">
        <w:rPr>
          <w:b/>
        </w:rPr>
        <w:t>Table 10.</w:t>
      </w:r>
      <w:r w:rsidRPr="009E15A7">
        <w:rPr>
          <w:b/>
        </w:rPr>
        <w:t xml:space="preserve">Percent </w:t>
      </w:r>
      <w:r>
        <w:rPr>
          <w:b/>
        </w:rPr>
        <w:t>engaged in strategy to prevent HIV, STIs, or vaccine preventable disease</w:t>
      </w:r>
    </w:p>
    <w:tbl>
      <w:tblPr>
        <w:tblW w:w="5480" w:type="dxa"/>
        <w:tblInd w:w="93" w:type="dxa"/>
        <w:tblLook w:val="00A0"/>
      </w:tblPr>
      <w:tblGrid>
        <w:gridCol w:w="5235"/>
        <w:gridCol w:w="920"/>
      </w:tblGrid>
      <w:tr w:rsidR="001670EC" w:rsidRPr="00680D98" w:rsidTr="00477618">
        <w:trPr>
          <w:trHeight w:val="300"/>
        </w:trPr>
        <w:tc>
          <w:tcPr>
            <w:tcW w:w="5235" w:type="dxa"/>
            <w:tcBorders>
              <w:top w:val="single" w:sz="4" w:space="0" w:color="auto"/>
              <w:left w:val="nil"/>
              <w:bottom w:val="single" w:sz="4" w:space="0" w:color="auto"/>
              <w:right w:val="nil"/>
            </w:tcBorders>
            <w:noWrap/>
            <w:vAlign w:val="bottom"/>
          </w:tcPr>
          <w:p w:rsidR="001670EC" w:rsidRPr="00FC0BA3" w:rsidRDefault="001670EC" w:rsidP="00477618">
            <w:pPr>
              <w:spacing w:after="0" w:line="240" w:lineRule="auto"/>
              <w:jc w:val="center"/>
              <w:rPr>
                <w:rFonts w:cs="Calibri"/>
                <w:b/>
                <w:bCs/>
                <w:color w:val="000000"/>
              </w:rPr>
            </w:pPr>
            <w:r w:rsidRPr="00FC0BA3">
              <w:rPr>
                <w:rFonts w:cs="Calibri"/>
                <w:b/>
                <w:bCs/>
                <w:color w:val="000000"/>
              </w:rPr>
              <w:t>Strategy</w:t>
            </w:r>
          </w:p>
        </w:tc>
        <w:tc>
          <w:tcPr>
            <w:tcW w:w="245" w:type="dxa"/>
            <w:tcBorders>
              <w:top w:val="single" w:sz="4" w:space="0" w:color="auto"/>
              <w:left w:val="nil"/>
              <w:bottom w:val="single" w:sz="4" w:space="0" w:color="auto"/>
              <w:right w:val="nil"/>
            </w:tcBorders>
            <w:noWrap/>
            <w:vAlign w:val="bottom"/>
          </w:tcPr>
          <w:p w:rsidR="001670EC" w:rsidRPr="00FC0BA3" w:rsidRDefault="001670EC" w:rsidP="00477618">
            <w:pPr>
              <w:spacing w:after="0" w:line="240" w:lineRule="auto"/>
              <w:jc w:val="center"/>
              <w:rPr>
                <w:rFonts w:cs="Calibri"/>
                <w:b/>
                <w:bCs/>
                <w:color w:val="000000"/>
              </w:rPr>
            </w:pPr>
            <w:r w:rsidRPr="00FC0BA3">
              <w:rPr>
                <w:rFonts w:cs="Calibri"/>
                <w:b/>
                <w:bCs/>
                <w:color w:val="000000"/>
              </w:rPr>
              <w:t xml:space="preserve">Percent </w:t>
            </w:r>
          </w:p>
        </w:tc>
      </w:tr>
      <w:tr w:rsidR="001670EC" w:rsidRPr="00680D98" w:rsidTr="00477618">
        <w:trPr>
          <w:trHeight w:val="305"/>
        </w:trPr>
        <w:tc>
          <w:tcPr>
            <w:tcW w:w="5235" w:type="dxa"/>
            <w:tcBorders>
              <w:top w:val="nil"/>
              <w:left w:val="nil"/>
              <w:bottom w:val="nil"/>
              <w:right w:val="nil"/>
            </w:tcBorders>
          </w:tcPr>
          <w:p w:rsidR="001670EC" w:rsidRPr="00FC0BA3" w:rsidRDefault="001670EC" w:rsidP="00477618">
            <w:pPr>
              <w:spacing w:after="0" w:line="240" w:lineRule="auto"/>
              <w:rPr>
                <w:rFonts w:cs="Calibri"/>
                <w:color w:val="000000"/>
              </w:rPr>
            </w:pPr>
            <w:r w:rsidRPr="00FC0BA3">
              <w:rPr>
                <w:rFonts w:cs="Calibri"/>
                <w:color w:val="000000"/>
              </w:rPr>
              <w:t>Education (Prevention techniques, sex ed, recognition)</w:t>
            </w:r>
          </w:p>
        </w:tc>
        <w:tc>
          <w:tcPr>
            <w:tcW w:w="245" w:type="dxa"/>
            <w:tcBorders>
              <w:top w:val="nil"/>
              <w:left w:val="nil"/>
              <w:bottom w:val="nil"/>
              <w:right w:val="nil"/>
            </w:tcBorders>
            <w:noWrap/>
          </w:tcPr>
          <w:p w:rsidR="001670EC" w:rsidRPr="00FC0BA3" w:rsidRDefault="001670EC" w:rsidP="00477618">
            <w:pPr>
              <w:spacing w:after="0" w:line="240" w:lineRule="auto"/>
              <w:jc w:val="right"/>
              <w:rPr>
                <w:rFonts w:cs="Calibri"/>
                <w:color w:val="000000"/>
              </w:rPr>
            </w:pPr>
            <w:r>
              <w:rPr>
                <w:rFonts w:cs="Calibri"/>
                <w:color w:val="000000"/>
              </w:rPr>
              <w:t>60.6</w:t>
            </w:r>
          </w:p>
        </w:tc>
      </w:tr>
      <w:tr w:rsidR="001670EC" w:rsidRPr="00680D98" w:rsidTr="00477618">
        <w:trPr>
          <w:trHeight w:val="300"/>
        </w:trPr>
        <w:tc>
          <w:tcPr>
            <w:tcW w:w="5235" w:type="dxa"/>
            <w:tcBorders>
              <w:top w:val="nil"/>
              <w:left w:val="nil"/>
              <w:bottom w:val="nil"/>
              <w:right w:val="nil"/>
            </w:tcBorders>
          </w:tcPr>
          <w:p w:rsidR="001670EC" w:rsidRPr="00FC0BA3" w:rsidRDefault="001670EC" w:rsidP="00477618">
            <w:pPr>
              <w:spacing w:after="0" w:line="240" w:lineRule="auto"/>
              <w:rPr>
                <w:rFonts w:cs="Calibri"/>
                <w:color w:val="000000"/>
              </w:rPr>
            </w:pPr>
            <w:r w:rsidRPr="00FC0BA3">
              <w:rPr>
                <w:rFonts w:cs="Calibri"/>
                <w:color w:val="000000"/>
              </w:rPr>
              <w:t>Screening, testing, and service referrals</w:t>
            </w:r>
          </w:p>
        </w:tc>
        <w:tc>
          <w:tcPr>
            <w:tcW w:w="245" w:type="dxa"/>
            <w:tcBorders>
              <w:top w:val="nil"/>
              <w:left w:val="nil"/>
              <w:bottom w:val="nil"/>
              <w:right w:val="nil"/>
            </w:tcBorders>
            <w:noWrap/>
          </w:tcPr>
          <w:p w:rsidR="001670EC" w:rsidRPr="00FC0BA3" w:rsidRDefault="001670EC" w:rsidP="00477618">
            <w:pPr>
              <w:spacing w:after="0" w:line="240" w:lineRule="auto"/>
              <w:jc w:val="right"/>
              <w:rPr>
                <w:rFonts w:cs="Calibri"/>
                <w:color w:val="000000"/>
              </w:rPr>
            </w:pPr>
            <w:r>
              <w:rPr>
                <w:rFonts w:cs="Calibri"/>
                <w:color w:val="000000"/>
              </w:rPr>
              <w:t>31.0</w:t>
            </w:r>
          </w:p>
        </w:tc>
      </w:tr>
      <w:tr w:rsidR="001670EC" w:rsidRPr="00680D98" w:rsidTr="00477618">
        <w:trPr>
          <w:trHeight w:val="300"/>
        </w:trPr>
        <w:tc>
          <w:tcPr>
            <w:tcW w:w="5235" w:type="dxa"/>
            <w:tcBorders>
              <w:top w:val="nil"/>
              <w:left w:val="nil"/>
              <w:bottom w:val="nil"/>
              <w:right w:val="nil"/>
            </w:tcBorders>
          </w:tcPr>
          <w:p w:rsidR="001670EC" w:rsidRPr="00FC0BA3" w:rsidRDefault="001670EC" w:rsidP="00477618">
            <w:pPr>
              <w:spacing w:after="0" w:line="240" w:lineRule="auto"/>
              <w:rPr>
                <w:rFonts w:cs="Calibri"/>
                <w:color w:val="000000"/>
              </w:rPr>
            </w:pPr>
            <w:r w:rsidRPr="00FC0BA3">
              <w:rPr>
                <w:rFonts w:cs="Calibri"/>
                <w:color w:val="000000"/>
              </w:rPr>
              <w:t>Immunization clinics</w:t>
            </w:r>
          </w:p>
        </w:tc>
        <w:tc>
          <w:tcPr>
            <w:tcW w:w="245" w:type="dxa"/>
            <w:tcBorders>
              <w:top w:val="nil"/>
              <w:left w:val="nil"/>
              <w:bottom w:val="nil"/>
              <w:right w:val="nil"/>
            </w:tcBorders>
            <w:noWrap/>
          </w:tcPr>
          <w:p w:rsidR="001670EC" w:rsidRPr="00FC0BA3" w:rsidRDefault="001670EC" w:rsidP="00477618">
            <w:pPr>
              <w:spacing w:after="0" w:line="240" w:lineRule="auto"/>
              <w:jc w:val="right"/>
              <w:rPr>
                <w:rFonts w:cs="Calibri"/>
                <w:color w:val="000000"/>
              </w:rPr>
            </w:pPr>
            <w:r>
              <w:rPr>
                <w:rFonts w:cs="Calibri"/>
                <w:color w:val="000000"/>
              </w:rPr>
              <w:t>18.3</w:t>
            </w:r>
          </w:p>
        </w:tc>
      </w:tr>
      <w:tr w:rsidR="001670EC" w:rsidRPr="00680D98" w:rsidTr="00477618">
        <w:trPr>
          <w:trHeight w:val="300"/>
        </w:trPr>
        <w:tc>
          <w:tcPr>
            <w:tcW w:w="5235" w:type="dxa"/>
            <w:tcBorders>
              <w:top w:val="nil"/>
              <w:left w:val="nil"/>
              <w:bottom w:val="nil"/>
              <w:right w:val="nil"/>
            </w:tcBorders>
          </w:tcPr>
          <w:p w:rsidR="001670EC" w:rsidRPr="00FC0BA3" w:rsidRDefault="001670EC" w:rsidP="00477618">
            <w:pPr>
              <w:spacing w:after="0" w:line="240" w:lineRule="auto"/>
              <w:rPr>
                <w:rFonts w:cs="Calibri"/>
                <w:color w:val="000000"/>
              </w:rPr>
            </w:pPr>
            <w:r w:rsidRPr="00FC0BA3">
              <w:rPr>
                <w:rFonts w:cs="Calibri"/>
                <w:color w:val="000000"/>
              </w:rPr>
              <w:t>Clinical treatment program</w:t>
            </w:r>
          </w:p>
        </w:tc>
        <w:tc>
          <w:tcPr>
            <w:tcW w:w="245" w:type="dxa"/>
            <w:tcBorders>
              <w:top w:val="nil"/>
              <w:left w:val="nil"/>
              <w:bottom w:val="nil"/>
              <w:right w:val="nil"/>
            </w:tcBorders>
            <w:noWrap/>
          </w:tcPr>
          <w:p w:rsidR="001670EC" w:rsidRPr="00FC0BA3" w:rsidRDefault="001670EC" w:rsidP="00477618">
            <w:pPr>
              <w:spacing w:after="0" w:line="240" w:lineRule="auto"/>
              <w:jc w:val="right"/>
              <w:rPr>
                <w:rFonts w:cs="Calibri"/>
                <w:color w:val="000000"/>
              </w:rPr>
            </w:pPr>
            <w:r>
              <w:rPr>
                <w:rFonts w:cs="Calibri"/>
                <w:color w:val="000000"/>
              </w:rPr>
              <w:t>9.9</w:t>
            </w:r>
          </w:p>
        </w:tc>
      </w:tr>
      <w:tr w:rsidR="001670EC" w:rsidRPr="00680D98" w:rsidTr="00477618">
        <w:trPr>
          <w:trHeight w:val="270"/>
        </w:trPr>
        <w:tc>
          <w:tcPr>
            <w:tcW w:w="5235" w:type="dxa"/>
            <w:tcBorders>
              <w:top w:val="nil"/>
              <w:left w:val="nil"/>
              <w:bottom w:val="nil"/>
              <w:right w:val="nil"/>
            </w:tcBorders>
          </w:tcPr>
          <w:p w:rsidR="001670EC" w:rsidRPr="00FC0BA3" w:rsidRDefault="001670EC" w:rsidP="00477618">
            <w:pPr>
              <w:spacing w:after="0" w:line="240" w:lineRule="auto"/>
              <w:rPr>
                <w:rFonts w:cs="Calibri"/>
                <w:color w:val="000000"/>
              </w:rPr>
            </w:pPr>
            <w:r w:rsidRPr="00FC0BA3">
              <w:rPr>
                <w:rFonts w:cs="Calibri"/>
                <w:color w:val="000000"/>
              </w:rPr>
              <w:t>Rule compliance to inform and prevent transmission</w:t>
            </w:r>
          </w:p>
        </w:tc>
        <w:tc>
          <w:tcPr>
            <w:tcW w:w="245" w:type="dxa"/>
            <w:tcBorders>
              <w:top w:val="nil"/>
              <w:left w:val="nil"/>
              <w:bottom w:val="nil"/>
              <w:right w:val="nil"/>
            </w:tcBorders>
            <w:noWrap/>
          </w:tcPr>
          <w:p w:rsidR="001670EC" w:rsidRPr="00FC0BA3" w:rsidRDefault="001670EC" w:rsidP="00477618">
            <w:pPr>
              <w:spacing w:after="0" w:line="240" w:lineRule="auto"/>
              <w:jc w:val="right"/>
              <w:rPr>
                <w:rFonts w:cs="Calibri"/>
                <w:color w:val="000000"/>
              </w:rPr>
            </w:pPr>
            <w:r>
              <w:rPr>
                <w:rFonts w:cs="Calibri"/>
                <w:color w:val="000000"/>
              </w:rPr>
              <w:t>5.6</w:t>
            </w:r>
          </w:p>
        </w:tc>
      </w:tr>
      <w:tr w:rsidR="001670EC" w:rsidRPr="00680D98" w:rsidTr="00477618">
        <w:trPr>
          <w:trHeight w:val="300"/>
        </w:trPr>
        <w:tc>
          <w:tcPr>
            <w:tcW w:w="5235" w:type="dxa"/>
            <w:tcBorders>
              <w:top w:val="nil"/>
              <w:left w:val="nil"/>
              <w:bottom w:val="single" w:sz="4" w:space="0" w:color="auto"/>
              <w:right w:val="nil"/>
            </w:tcBorders>
          </w:tcPr>
          <w:p w:rsidR="001670EC" w:rsidRPr="00FC0BA3" w:rsidRDefault="001670EC" w:rsidP="00477618">
            <w:pPr>
              <w:spacing w:after="0" w:line="240" w:lineRule="auto"/>
              <w:rPr>
                <w:rFonts w:cs="Calibri"/>
                <w:color w:val="000000"/>
              </w:rPr>
            </w:pPr>
            <w:r w:rsidRPr="00FC0BA3">
              <w:rPr>
                <w:rFonts w:cs="Calibri"/>
                <w:color w:val="000000"/>
              </w:rPr>
              <w:t>Other</w:t>
            </w:r>
          </w:p>
        </w:tc>
        <w:tc>
          <w:tcPr>
            <w:tcW w:w="245" w:type="dxa"/>
            <w:tcBorders>
              <w:top w:val="nil"/>
              <w:left w:val="nil"/>
              <w:bottom w:val="single" w:sz="4" w:space="0" w:color="auto"/>
              <w:right w:val="nil"/>
            </w:tcBorders>
            <w:noWrap/>
          </w:tcPr>
          <w:p w:rsidR="001670EC" w:rsidRPr="00FC0BA3" w:rsidRDefault="001670EC" w:rsidP="00477618">
            <w:pPr>
              <w:spacing w:after="0" w:line="240" w:lineRule="auto"/>
              <w:jc w:val="right"/>
              <w:rPr>
                <w:rFonts w:cs="Calibri"/>
                <w:color w:val="000000"/>
              </w:rPr>
            </w:pPr>
            <w:r>
              <w:rPr>
                <w:rFonts w:cs="Calibri"/>
                <w:color w:val="000000"/>
              </w:rPr>
              <w:t>22.5</w:t>
            </w:r>
          </w:p>
        </w:tc>
      </w:tr>
    </w:tbl>
    <w:p w:rsidR="001670EC" w:rsidRDefault="001670EC" w:rsidP="00477618"/>
    <w:p w:rsidR="001670EC" w:rsidRPr="004574A4" w:rsidRDefault="001670EC" w:rsidP="004574A4">
      <w:pPr>
        <w:pStyle w:val="Heading5"/>
        <w:rPr>
          <w:sz w:val="26"/>
          <w:szCs w:val="26"/>
        </w:rPr>
      </w:pPr>
      <w:bookmarkStart w:id="73" w:name="_Toc352672709"/>
      <w:bookmarkStart w:id="74" w:name="_Toc352673035"/>
      <w:r w:rsidRPr="004574A4">
        <w:rPr>
          <w:sz w:val="26"/>
          <w:szCs w:val="26"/>
        </w:rPr>
        <w:t>Technology Use and Upcoming Regional Challenges</w:t>
      </w:r>
      <w:bookmarkEnd w:id="73"/>
      <w:bookmarkEnd w:id="74"/>
    </w:p>
    <w:p w:rsidR="001670EC" w:rsidRDefault="001670EC" w:rsidP="00477618">
      <w:r>
        <w:t>At the end of the survey respondents are asked about the use of technology and were given the opportunity to identify any unique challenges they may be facing over the next few years. This section details these findings providing some insight into possible regional needs and priorities that may not have fit into the five priority areas already identified in the larger state health agenda.</w:t>
      </w:r>
    </w:p>
    <w:p w:rsidR="001670EC" w:rsidRDefault="001670EC" w:rsidP="00477618">
      <w:pPr>
        <w:pStyle w:val="Heading4"/>
      </w:pPr>
      <w:bookmarkStart w:id="75" w:name="_Toc352677324"/>
      <w:r>
        <w:t>Technology use and prioritization</w:t>
      </w:r>
      <w:bookmarkEnd w:id="75"/>
    </w:p>
    <w:p w:rsidR="001670EC" w:rsidRDefault="001670EC" w:rsidP="00477618">
      <w:r>
        <w:t>Survey respondents were asked to rate two aspects of technology in the region: how much technology is currently used and how relevant technology and communication enhancement is as a priority specifically for the Adirondack region. Chart 16 illustrates the extent to which survey respondents indicated that the clients of their agency use technology, such as the internet or information kiosks, to access lab results, address billing issues, or submit questions and communicate with the agency. A large portion, approximately one-third, indicated that they don’t know, which may simply reflect the fact that the individuals that received the survey are not directly involved with technical aspects of their agency’s day-to-day operations. Among those that were able to assess the frequency of technology usage, most selected a low-usage rating, with one-in-four indicating that clients sometimes use technology and one-in-five indicating that clients rarely use technology.</w:t>
      </w:r>
    </w:p>
    <w:p w:rsidR="001670EC" w:rsidRDefault="001670EC" w:rsidP="00477618">
      <w:pPr>
        <w:jc w:val="center"/>
        <w:rPr>
          <w:b/>
        </w:rPr>
      </w:pPr>
      <w:r>
        <w:rPr>
          <w:b/>
        </w:rPr>
        <w:t>Chart 16. Rating of frequency of technology use by agency clients by share of respondents</w:t>
      </w:r>
    </w:p>
    <w:p w:rsidR="001670EC" w:rsidRPr="00F77F15" w:rsidRDefault="00B240D8" w:rsidP="00477618">
      <w:pPr>
        <w:jc w:val="center"/>
        <w:rPr>
          <w:b/>
        </w:rPr>
      </w:pPr>
      <w:r>
        <w:rPr>
          <w:noProof/>
        </w:rPr>
        <w:drawing>
          <wp:inline distT="0" distB="0" distL="0" distR="0">
            <wp:extent cx="4572000" cy="2743200"/>
            <wp:effectExtent l="0" t="0" r="0" b="0"/>
            <wp:docPr id="4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670EC" w:rsidRDefault="001670EC" w:rsidP="00477618">
      <w:r>
        <w:rPr>
          <w:i/>
        </w:rPr>
        <w:t>There also was</w:t>
      </w:r>
      <w:r w:rsidRPr="00653C26">
        <w:rPr>
          <w:i/>
        </w:rPr>
        <w:t xml:space="preserve"> a relatively high overall level of support for making the enhancement of technology one of the top five priorities for the region.</w:t>
      </w:r>
      <w:r>
        <w:t xml:space="preserve"> Over half of all respondents agreed that enhancing technology should be a priority (Chart 17). Additionally, only about 9 percent of respondents indicated any level of disagreement. However, it should be noted that there was a substantial amount of ambivalence about the issue: just over 21 percent are on the fence and could neither agree nor disagree, and 12.1 percent indicated that they don’t know enough to answer the question. The share of stakeholders that did not hold a strong opinion on the issue does suggest that support for the issue may grow, or opposition may increase, with additional information on a technology enhancement priority area for the region.</w:t>
      </w:r>
    </w:p>
    <w:p w:rsidR="001670EC" w:rsidRDefault="001670EC" w:rsidP="00477618">
      <w:r>
        <w:t xml:space="preserve">Respondents were also provided an opportunity to offer additional comments about technology; however, only 66 of the 285 chose to provide additional information. Interestingly, </w:t>
      </w:r>
      <w:r w:rsidRPr="00653C26">
        <w:rPr>
          <w:i/>
        </w:rPr>
        <w:t>although the numbers indicate high support overall, many of the comments were not supportive of pushing the use of technology in the region or expressed concerns about the utility or cost for rural health care providers</w:t>
      </w:r>
      <w:r>
        <w:t>. Most concerns focused on the elderly and poor or rurally isolated residents, who might not have access to the internet or who might find the technology difficult to use. Others indicated that a lack of staff time or the cost of new technology could be difficult barriers for health agencies to overcome. In short, there is strong support for technology as a priority area; however, a smaller group of dissenting voices has serious concerns about the issue.</w:t>
      </w:r>
    </w:p>
    <w:p w:rsidR="001670EC" w:rsidRDefault="001670EC" w:rsidP="00477618"/>
    <w:p w:rsidR="001670EC" w:rsidRDefault="001670EC" w:rsidP="00477618"/>
    <w:p w:rsidR="001670EC" w:rsidRDefault="001670EC" w:rsidP="00477618"/>
    <w:p w:rsidR="001670EC" w:rsidRDefault="001670EC" w:rsidP="00477618">
      <w:pPr>
        <w:jc w:val="center"/>
        <w:rPr>
          <w:b/>
        </w:rPr>
      </w:pPr>
      <w:r>
        <w:rPr>
          <w:b/>
        </w:rPr>
        <w:t>Chart 17. Rating of agreement that enhancing technology should be among top five priorities</w:t>
      </w:r>
    </w:p>
    <w:p w:rsidR="001670EC" w:rsidRDefault="00B240D8" w:rsidP="00477618">
      <w:pPr>
        <w:jc w:val="center"/>
      </w:pPr>
      <w:r>
        <w:rPr>
          <w:noProof/>
        </w:rPr>
        <w:drawing>
          <wp:inline distT="0" distB="0" distL="0" distR="0">
            <wp:extent cx="4485005" cy="2743200"/>
            <wp:effectExtent l="0" t="0" r="0" b="0"/>
            <wp:docPr id="4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670EC" w:rsidRDefault="001670EC" w:rsidP="00477618">
      <w:pPr>
        <w:pStyle w:val="Heading4"/>
      </w:pPr>
      <w:bookmarkStart w:id="76" w:name="_Toc352677325"/>
      <w:r>
        <w:t>Additional comments and challenges</w:t>
      </w:r>
      <w:bookmarkEnd w:id="76"/>
    </w:p>
    <w:p w:rsidR="001670EC" w:rsidRDefault="001670EC" w:rsidP="00477618">
      <w:r>
        <w:t>Throughout the survey, respondents were repeatedly given the opportunity to provide general comments and to provide additional information about topics, such as activities serving specific racial or health groups. Few provided comments and most did not provide information that adds to the core survey results. For example, a few noted that they provide services to Native American groups, and others occasionally listed major diseases such as diabetes or COPD that they frequently see in their work. At the end of the survey respondents were also provided with an opportunity to offer closing thoughts about the challenges facing their organization and the process of setting health priorities in an open-ended format. These comment sections were completed at a slightly higher rate: 162 respondents provided a comment on upcoming organizational challenges, but only 45 provided a comment on the process of setting priorities.</w:t>
      </w:r>
    </w:p>
    <w:p w:rsidR="001670EC" w:rsidRPr="00EC0D9B" w:rsidRDefault="001670EC" w:rsidP="00477618">
      <w:r>
        <w:t xml:space="preserve">The comments on future challenges predominantly focused on funding issues, specifically declining reimbursements and reduced funding from public sources. According to the comments of survey respondents, many agencies in the region rely heavily on reimbursements from Medicare and Medicaid, or funding from grants and local taxes, which they expect to see decline in the near future. Some also cite workforce problems, particularly the ability to maintain a qualified health care workforce given skill shortages and rising wage and benefit expectations. </w:t>
      </w:r>
    </w:p>
    <w:p w:rsidR="001670EC" w:rsidRDefault="001670EC" w:rsidP="00684801">
      <w:pPr>
        <w:tabs>
          <w:tab w:val="left" w:pos="5490"/>
        </w:tabs>
      </w:pPr>
      <w:r>
        <w:t xml:space="preserve">Regarding the process of setting community health priorities for the region, multiple survey respondents mentioned the importance of collaboration and communication. Others focused on the unique, rural nature of the region, and mentioned issues such as low volumes of clients, regulations that do not make sense, and a difficulty in achieving economies of scale as being problems specific to the area that should be considered when formulating priorities. </w:t>
      </w:r>
    </w:p>
    <w:p w:rsidR="001670EC" w:rsidRPr="004574A4" w:rsidRDefault="001670EC" w:rsidP="004574A4">
      <w:pPr>
        <w:pStyle w:val="Heading4"/>
        <w:rPr>
          <w:i w:val="0"/>
          <w:sz w:val="26"/>
          <w:szCs w:val="26"/>
        </w:rPr>
      </w:pPr>
      <w:bookmarkStart w:id="77" w:name="_Toc352672710"/>
      <w:bookmarkStart w:id="78" w:name="_Toc352673036"/>
      <w:r w:rsidRPr="004574A4">
        <w:rPr>
          <w:i w:val="0"/>
          <w:sz w:val="26"/>
          <w:szCs w:val="26"/>
        </w:rPr>
        <w:t>Summary</w:t>
      </w:r>
      <w:bookmarkEnd w:id="77"/>
      <w:bookmarkEnd w:id="78"/>
    </w:p>
    <w:p w:rsidR="001670EC" w:rsidRPr="00653C26" w:rsidRDefault="001670EC" w:rsidP="00477618">
      <w:pPr>
        <w:rPr>
          <w:i/>
        </w:rPr>
      </w:pPr>
      <w:r>
        <w:t xml:space="preserve">The results of the ARHN survey reveal several major findings that can be used to guide future efforts to develop a set of unique regional health priorities. </w:t>
      </w:r>
      <w:r w:rsidRPr="00653C26">
        <w:rPr>
          <w:i/>
        </w:rPr>
        <w:t xml:space="preserve">First, survey respondents identified both regional needs and organizational preferences that clearly favored some of the NYS Health Agenda priority areas over others. </w:t>
      </w:r>
      <w:r>
        <w:t xml:space="preserve">The issue of </w:t>
      </w:r>
      <w:r w:rsidRPr="00653C26">
        <w:rPr>
          <w:i/>
        </w:rPr>
        <w:t>chronic disease was identified as a problem area for the region and was selected by a large number as a being a top priority to address</w:t>
      </w:r>
      <w:r>
        <w:t xml:space="preserve">. Additionally, many of the emerging trends for the region can be tied to a chronic disease priority area: an aging population, increases in obesity, and a rising rate of diabetes are all associated with long-term conditions that will challenge the health care system. At the other end of the spectrum, respondents also largely agreed that the HIV, STI, and vaccine preventable disease priority area is less important to the region. </w:t>
      </w:r>
      <w:r w:rsidRPr="00653C26">
        <w:rPr>
          <w:i/>
        </w:rPr>
        <w:t xml:space="preserve">Few respondents perceive HIV and STIs as being an emerging health threat in the region, and </w:t>
      </w:r>
      <w:r>
        <w:rPr>
          <w:i/>
        </w:rPr>
        <w:t>most</w:t>
      </w:r>
      <w:r w:rsidRPr="00653C26">
        <w:rPr>
          <w:i/>
        </w:rPr>
        <w:t xml:space="preserve"> ranked the issue as being the </w:t>
      </w:r>
      <w:r>
        <w:rPr>
          <w:i/>
        </w:rPr>
        <w:t>least important to</w:t>
      </w:r>
      <w:r w:rsidRPr="00653C26">
        <w:rPr>
          <w:i/>
        </w:rPr>
        <w:t xml:space="preserve"> the region overall. </w:t>
      </w:r>
    </w:p>
    <w:p w:rsidR="001670EC" w:rsidRDefault="001670EC" w:rsidP="00477618">
      <w:r w:rsidRPr="00653C26">
        <w:t>The second major finding that can be derived from the survey results is that</w:t>
      </w:r>
      <w:r w:rsidRPr="00653C26">
        <w:rPr>
          <w:i/>
        </w:rPr>
        <w:t xml:space="preserve"> current efforts to address the problems associated with the five NYS Health Agenda priority areas are only moderately effective overall. </w:t>
      </w:r>
      <w:r>
        <w:t>Very few respondents rated current efforts on any major issue as either “effective” or “very effective.” Instead most described current efforts as only slightly or moderately effective, if they provided ratings at all. Additionally, many current activities do not appear to take a hands-on approach to health issues. The most common agency strategies identified across all issues were educational in nature, and most suggestions for population-targeting simply identified groups that are already afflicted: i.e. targeting substance abuse prevention efforts at individuals with substance abuse issues.</w:t>
      </w:r>
    </w:p>
    <w:p w:rsidR="001670EC" w:rsidRDefault="001670EC" w:rsidP="00477618">
      <w:pPr>
        <w:rPr>
          <w:b/>
          <w:sz w:val="36"/>
          <w:szCs w:val="36"/>
        </w:rPr>
      </w:pPr>
      <w:r w:rsidRPr="00653C26">
        <w:rPr>
          <w:i/>
        </w:rPr>
        <w:t>Finally, perhaps the most surprising finding was that a sizable portion of the health care stakeholders that responded to the ARHN survey indicated no knowledge about the Health Agenda priority areas or about major health issues within the Adirondack region</w:t>
      </w:r>
      <w:r>
        <w:t>. Only about half of respondents indicated that their agency was familiar with the NYS Health Agenda priority areas and only 8.2 percent described themselves as being personally very knowledgeable about the agenda areas. Additionally, when asked about general current conditions, the portion of respondents that indicated that they “don’t know” how their own region was faring ranged from 7.1 percent who could not rate the overall health and safety of the region to 47.1 percent for who did not know the severity of the problem of HIV, STIs, and vaccine preventable diseases in the region. This suggests that at least some regional health care stakeholders are in need of additional data on community health conditions and improved connections with service agencies working on different issues.</w:t>
      </w:r>
    </w:p>
    <w:p w:rsidR="001670EC" w:rsidRDefault="001670EC" w:rsidP="007466E7">
      <w:pPr>
        <w:jc w:val="center"/>
        <w:rPr>
          <w:b/>
          <w:sz w:val="36"/>
          <w:szCs w:val="36"/>
        </w:rPr>
      </w:pPr>
    </w:p>
    <w:p w:rsidR="001670EC" w:rsidRDefault="001670EC" w:rsidP="007466E7">
      <w:pPr>
        <w:jc w:val="center"/>
        <w:rPr>
          <w:b/>
          <w:sz w:val="36"/>
          <w:szCs w:val="36"/>
        </w:rPr>
        <w:sectPr w:rsidR="001670EC" w:rsidSect="008718BA">
          <w:type w:val="continuous"/>
          <w:pgSz w:w="12240" w:h="15840"/>
          <w:pgMar w:top="1260" w:right="1440" w:bottom="1260" w:left="1440" w:header="720" w:footer="720" w:gutter="0"/>
          <w:cols w:space="720"/>
          <w:docGrid w:linePitch="360"/>
        </w:sectPr>
      </w:pPr>
    </w:p>
    <w:p w:rsidR="001670EC" w:rsidRDefault="001670EC" w:rsidP="00933553">
      <w:pPr>
        <w:pStyle w:val="Heading1"/>
        <w:jc w:val="center"/>
      </w:pPr>
      <w:bookmarkStart w:id="79" w:name="_Toc355250989"/>
      <w:r w:rsidRPr="009D4584">
        <w:t>Appendix</w:t>
      </w:r>
      <w:r>
        <w:t xml:space="preserve"> 3</w:t>
      </w:r>
      <w:r w:rsidRPr="009D4584">
        <w:t xml:space="preserve">:  ARHN Survey Results:  </w:t>
      </w:r>
      <w:r>
        <w:t>Fulton</w:t>
      </w:r>
      <w:r w:rsidRPr="009D4584">
        <w:t xml:space="preserve"> County</w:t>
      </w:r>
      <w:bookmarkEnd w:id="79"/>
    </w:p>
    <w:p w:rsidR="001670EC" w:rsidRPr="003A4A5C" w:rsidRDefault="001670EC" w:rsidP="003A4A5C"/>
    <w:p w:rsidR="001670EC" w:rsidRDefault="001670EC" w:rsidP="00B418E2">
      <w:r>
        <w:t xml:space="preserve">This report details results from the Adirondack Rural Health Network (ARHN) survey that are specific to Fulton County, New York.  A full report covering survey findings for the entire eight-county region served by ARHN, </w:t>
      </w:r>
      <w:r w:rsidRPr="00482792">
        <w:rPr>
          <w:i/>
        </w:rPr>
        <w:t>Results of the Adirondack Rural Health Network Survey: Regional Results Summary</w:t>
      </w:r>
      <w:r>
        <w:t>, accompanies this report and provides greater detail on the preferences and directions expressed by respondents for the region as a whole, including Fulton County.</w:t>
      </w:r>
    </w:p>
    <w:p w:rsidR="001670EC" w:rsidRDefault="001670EC" w:rsidP="00B418E2">
      <w:pPr>
        <w:pStyle w:val="Heading2"/>
      </w:pPr>
      <w:r>
        <w:t>Survey Overview and Methodology</w:t>
      </w:r>
    </w:p>
    <w:p w:rsidR="001670EC" w:rsidRDefault="001670EC" w:rsidP="00B418E2">
      <w:r>
        <w:t>This report details the findings of a survey conducted by the Center for Human Services Research (CHSR) for the ARHN between December 5, 2012 and January 21, 2013. The purpose of the study was to provide feedback from community service providers in order to: 1) guide strategic planning, 2) highlight topics for increased public awareness, 3) identify areas for training, and 4) inform the statewide prevention agenda. In addition to Fulton County, the seven other New York counties included in the region are Clinton, Essex, Franklin, Hamilton, Saratoga, Warren, and Washington.</w:t>
      </w:r>
    </w:p>
    <w:p w:rsidR="001670EC" w:rsidRDefault="001670EC" w:rsidP="00B418E2">
      <w:r>
        <w:t>The 81 question survey was developed through a collaborative effort by a seven-member survey ARHN subcommittee during the fall of 2012. The seven volunteer members are representatives of county public health departments and hospitals in the region that are involved in the ARHN. Subcommittee members identified the broad research questions to be addressed by the survey, drafted the individual survey questions, and developed the list of relevant health care stakeholders that received the survey. A more detailed description of the process is included in the full regional report.</w:t>
      </w:r>
    </w:p>
    <w:p w:rsidR="001670EC" w:rsidRDefault="001670EC" w:rsidP="00B418E2">
      <w:r>
        <w:t>The survey was administered electronically using a web-based survey program and distributed to an email contact list of 624. Ultimately, 285 surveys were completed during the six-week survey period, a response rate of 45.7 percent. Of all 285 responses, 65 indicated that Fulton County was part of their service area; however, it should be noted that many of the responding health care stakeholders service multiple counties within the larger ARHN region.</w:t>
      </w:r>
    </w:p>
    <w:p w:rsidR="001670EC" w:rsidRDefault="001670EC" w:rsidP="00B418E2">
      <w:pPr>
        <w:pStyle w:val="Heading2"/>
      </w:pPr>
      <w:r>
        <w:t>Results</w:t>
      </w:r>
    </w:p>
    <w:p w:rsidR="001670EC" w:rsidRDefault="001670EC" w:rsidP="00B418E2">
      <w:r>
        <w:t xml:space="preserve">The following summarizes the major findings from the ARHN survey as applicable to Fulton County. In most cases, the survey results for each of the eight individual counties do not differ in either a statistical or interpretive sense from the survey results for the overall region.  </w:t>
      </w:r>
    </w:p>
    <w:p w:rsidR="001670EC" w:rsidRDefault="001670EC" w:rsidP="00521C49">
      <w:pPr>
        <w:pStyle w:val="ListParagraph"/>
        <w:numPr>
          <w:ilvl w:val="0"/>
          <w:numId w:val="1"/>
        </w:numPr>
      </w:pPr>
      <w:r>
        <w:t>The top emerging are increases in obesity and related health issues, increases in substance abuse, and mental illness.</w:t>
      </w:r>
    </w:p>
    <w:p w:rsidR="001670EC" w:rsidRDefault="001670EC" w:rsidP="00521C49">
      <w:pPr>
        <w:pStyle w:val="ListParagraph"/>
        <w:numPr>
          <w:ilvl w:val="0"/>
          <w:numId w:val="1"/>
        </w:numPr>
      </w:pPr>
      <w:r>
        <w:t>The population groups identified most in need of targeted interventions are: the poor, children, individuals with mental health issues, the elderly, and substance abusers.</w:t>
      </w:r>
    </w:p>
    <w:p w:rsidR="001670EC" w:rsidRDefault="001670EC" w:rsidP="00521C49">
      <w:pPr>
        <w:pStyle w:val="ListParagraph"/>
        <w:numPr>
          <w:ilvl w:val="0"/>
          <w:numId w:val="1"/>
        </w:numPr>
      </w:pPr>
      <w:r>
        <w:t>Only about half of survey respondents reported being familiar with the NYS Department of Health Prevention Agenda priority areas.</w:t>
      </w:r>
    </w:p>
    <w:p w:rsidR="001670EC" w:rsidRDefault="003D1A5F" w:rsidP="00521C49">
      <w:pPr>
        <w:pStyle w:val="ListParagraph"/>
        <w:numPr>
          <w:ilvl w:val="0"/>
          <w:numId w:val="1"/>
        </w:numPr>
      </w:pPr>
      <w:r>
        <w:rPr>
          <w:noProof/>
        </w:rPr>
        <w:pict>
          <v:shapetype id="_x0000_t202" coordsize="21600,21600" o:spt="202" path="m,l,21600r21600,l21600,xe">
            <v:stroke joinstyle="miter"/>
            <v:path gradientshapeok="t" o:connecttype="rect"/>
          </v:shapetype>
          <v:shape id="_x0000_s1087" type="#_x0000_t202" style="position:absolute;left:0;text-align:left;margin-left:217.7pt;margin-top:53.7pt;width:30.85pt;height:24.9pt;z-index:251660288">
            <v:textbox>
              <w:txbxContent>
                <w:p w:rsidR="00CF7937" w:rsidRDefault="00CF7937">
                  <w:r>
                    <w:t>VII</w:t>
                  </w:r>
                  <w:r w:rsidR="00E323FB">
                    <w:t>I</w:t>
                  </w:r>
                </w:p>
              </w:txbxContent>
            </v:textbox>
          </v:shape>
        </w:pict>
      </w:r>
      <w:r w:rsidR="001670EC">
        <w:t>Among the five NYS Prevention Agenda priority areas, chronic disease was ranked as the area of highest community need and agency interest.</w:t>
      </w:r>
    </w:p>
    <w:p w:rsidR="003124B9" w:rsidRDefault="003124B9" w:rsidP="00521C49">
      <w:pPr>
        <w:pStyle w:val="ListParagraph"/>
        <w:numPr>
          <w:ilvl w:val="0"/>
          <w:numId w:val="1"/>
        </w:numPr>
      </w:pPr>
    </w:p>
    <w:p w:rsidR="001670EC" w:rsidRDefault="001670EC" w:rsidP="00521C49">
      <w:pPr>
        <w:pStyle w:val="ListParagraph"/>
        <w:numPr>
          <w:ilvl w:val="0"/>
          <w:numId w:val="1"/>
        </w:numPr>
      </w:pPr>
      <w:r>
        <w:t xml:space="preserve">The agenda area of HIV, STIs, and vaccine preventable diseases was ranked lowest in terms of overall interest and concern. </w:t>
      </w:r>
    </w:p>
    <w:p w:rsidR="001670EC" w:rsidRDefault="001670EC" w:rsidP="00521C49">
      <w:pPr>
        <w:pStyle w:val="ListParagraph"/>
        <w:numPr>
          <w:ilvl w:val="0"/>
          <w:numId w:val="1"/>
        </w:numPr>
      </w:pPr>
      <w:r>
        <w:t>The individual issues of greatest importance to survey respondents were the general health and safety of the physical environment, diabetes prevention, substance abuse, mental health screening and treatment, and the prevention of heart disease.</w:t>
      </w:r>
    </w:p>
    <w:p w:rsidR="001670EC" w:rsidRDefault="001670EC" w:rsidP="00521C49">
      <w:pPr>
        <w:pStyle w:val="ListParagraph"/>
        <w:numPr>
          <w:ilvl w:val="0"/>
          <w:numId w:val="1"/>
        </w:numPr>
      </w:pPr>
      <w:r>
        <w:t xml:space="preserve">Current involvement in efforts related to NYS Health Agenda issues is highest for prevention of chronic disease, promotion of a healthy and safe environment, and addressing the health of women, infants, and children. </w:t>
      </w:r>
    </w:p>
    <w:p w:rsidR="001670EC" w:rsidRDefault="001670EC" w:rsidP="00521C49">
      <w:pPr>
        <w:pStyle w:val="ListParagraph"/>
        <w:numPr>
          <w:ilvl w:val="0"/>
          <w:numId w:val="1"/>
        </w:numPr>
      </w:pPr>
      <w:r>
        <w:t>Respondents indicated the lowest level of current involvement with efforts to prevent HIV, STIs, and vaccine-preventable disease.</w:t>
      </w:r>
    </w:p>
    <w:p w:rsidR="001670EC" w:rsidRDefault="001670EC" w:rsidP="00521C49">
      <w:pPr>
        <w:pStyle w:val="ListParagraph"/>
        <w:numPr>
          <w:ilvl w:val="0"/>
          <w:numId w:val="1"/>
        </w:numPr>
      </w:pPr>
      <w:r>
        <w:t>When asked to rate the effectiveness of current local efforts to address major health issues, a large portion of respondents indicated that they did not know, which suggests that additional information and publicity may be needed for health activities in the region.</w:t>
      </w:r>
    </w:p>
    <w:p w:rsidR="001670EC" w:rsidRDefault="001670EC" w:rsidP="00521C49">
      <w:pPr>
        <w:pStyle w:val="ListParagraph"/>
        <w:numPr>
          <w:ilvl w:val="0"/>
          <w:numId w:val="1"/>
        </w:numPr>
      </w:pPr>
      <w:r>
        <w:t xml:space="preserve">Education is a dominant strategy currently used to address major health issues in the region. </w:t>
      </w:r>
    </w:p>
    <w:p w:rsidR="001670EC" w:rsidRDefault="001670EC" w:rsidP="00521C49">
      <w:pPr>
        <w:pStyle w:val="ListParagraph"/>
        <w:numPr>
          <w:ilvl w:val="0"/>
          <w:numId w:val="1"/>
        </w:numPr>
      </w:pPr>
      <w:r>
        <w:t>Technology is not highly utilized by health service providers and their clients in the region. A slight majority of respondents agreed that technology enhancement should be a top priority for the region.</w:t>
      </w:r>
    </w:p>
    <w:p w:rsidR="001670EC" w:rsidRDefault="001670EC" w:rsidP="00521C49">
      <w:pPr>
        <w:pStyle w:val="ListParagraph"/>
        <w:numPr>
          <w:ilvl w:val="0"/>
          <w:numId w:val="1"/>
        </w:numPr>
      </w:pPr>
      <w:r>
        <w:t>The top future concern for stakeholders was funding. Regional health care organizations expressed concerns about reimbursement rates and expectations of reduced funding through government payments and other grants.</w:t>
      </w:r>
    </w:p>
    <w:p w:rsidR="001670EC" w:rsidRDefault="001670EC" w:rsidP="00B418E2">
      <w:pPr>
        <w:pStyle w:val="Heading3"/>
      </w:pPr>
      <w:r>
        <w:t>Agenda Area Priority Ranking</w:t>
      </w:r>
    </w:p>
    <w:p w:rsidR="001670EC" w:rsidRDefault="001670EC" w:rsidP="00B418E2">
      <w:r>
        <w:t>One of the key aspects of the survey is how health care stakeholders rated the relative importance of each of the five NYS Health Agenda topics. Table 1 shows the priority areas, sorted by the portion selecting each as being the highest priority. It should be noted that the values reflect region-wide values, since the results of Fulton County respondents were did not differ in a statistically significant manner from the rest of the group. Put simply, Fulton County respondents agree with other respondents in the region that chronic disease is the most important agenda area.</w:t>
      </w:r>
    </w:p>
    <w:p w:rsidR="001670EC" w:rsidRPr="00F44F97" w:rsidRDefault="001670EC" w:rsidP="00B418E2">
      <w:pPr>
        <w:rPr>
          <w:b/>
        </w:rPr>
      </w:pPr>
      <w:r>
        <w:rPr>
          <w:b/>
        </w:rPr>
        <w:t>Table 1. Ranking of NYS Health Agenda issue areas</w:t>
      </w:r>
    </w:p>
    <w:tbl>
      <w:tblPr>
        <w:tblW w:w="9440" w:type="dxa"/>
        <w:tblInd w:w="93" w:type="dxa"/>
        <w:tblLook w:val="00A0"/>
      </w:tblPr>
      <w:tblGrid>
        <w:gridCol w:w="4740"/>
        <w:gridCol w:w="940"/>
        <w:gridCol w:w="940"/>
        <w:gridCol w:w="940"/>
        <w:gridCol w:w="940"/>
        <w:gridCol w:w="940"/>
      </w:tblGrid>
      <w:tr w:rsidR="001670EC" w:rsidRPr="00680D98" w:rsidTr="00B740C1">
        <w:trPr>
          <w:trHeight w:val="300"/>
        </w:trPr>
        <w:tc>
          <w:tcPr>
            <w:tcW w:w="4740" w:type="dxa"/>
            <w:tcBorders>
              <w:top w:val="single" w:sz="4" w:space="0" w:color="auto"/>
              <w:left w:val="nil"/>
              <w:bottom w:val="nil"/>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 </w:t>
            </w:r>
          </w:p>
        </w:tc>
        <w:tc>
          <w:tcPr>
            <w:tcW w:w="4700" w:type="dxa"/>
            <w:gridSpan w:val="5"/>
            <w:tcBorders>
              <w:top w:val="single" w:sz="4" w:space="0" w:color="auto"/>
              <w:left w:val="nil"/>
              <w:bottom w:val="nil"/>
              <w:right w:val="nil"/>
            </w:tcBorders>
            <w:noWrap/>
            <w:vAlign w:val="bottom"/>
          </w:tcPr>
          <w:p w:rsidR="001670EC" w:rsidRPr="00F44F97" w:rsidRDefault="001670EC" w:rsidP="00B740C1">
            <w:pPr>
              <w:spacing w:after="0" w:line="240" w:lineRule="auto"/>
              <w:jc w:val="center"/>
              <w:rPr>
                <w:rFonts w:cs="Calibri"/>
                <w:color w:val="000000"/>
              </w:rPr>
            </w:pPr>
            <w:r w:rsidRPr="00F44F97">
              <w:rPr>
                <w:rFonts w:cs="Calibri"/>
                <w:color w:val="000000"/>
              </w:rPr>
              <w:t>Percent selecting each priority by ranking</w:t>
            </w:r>
          </w:p>
        </w:tc>
      </w:tr>
      <w:tr w:rsidR="001670EC" w:rsidRPr="00680D98" w:rsidTr="00B740C1">
        <w:trPr>
          <w:trHeight w:val="300"/>
        </w:trPr>
        <w:tc>
          <w:tcPr>
            <w:tcW w:w="4740" w:type="dxa"/>
            <w:tcBorders>
              <w:top w:val="nil"/>
              <w:left w:val="nil"/>
              <w:bottom w:val="single" w:sz="4" w:space="0" w:color="auto"/>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 </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jc w:val="center"/>
              <w:rPr>
                <w:rFonts w:cs="Calibri"/>
                <w:color w:val="000000"/>
              </w:rPr>
            </w:pPr>
            <w:r w:rsidRPr="00F44F97">
              <w:rPr>
                <w:rFonts w:cs="Calibri"/>
                <w:color w:val="000000"/>
              </w:rPr>
              <w:t>Most</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jc w:val="center"/>
              <w:rPr>
                <w:rFonts w:cs="Calibri"/>
                <w:color w:val="000000"/>
              </w:rPr>
            </w:pPr>
            <w:r w:rsidRPr="00F44F97">
              <w:rPr>
                <w:rFonts w:cs="Calibri"/>
                <w:color w:val="000000"/>
              </w:rPr>
              <w:t xml:space="preserve">2nd </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jc w:val="center"/>
              <w:rPr>
                <w:rFonts w:cs="Calibri"/>
                <w:color w:val="000000"/>
              </w:rPr>
            </w:pPr>
            <w:r w:rsidRPr="00F44F97">
              <w:rPr>
                <w:rFonts w:cs="Calibri"/>
                <w:color w:val="000000"/>
              </w:rPr>
              <w:t>3rd</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jc w:val="center"/>
              <w:rPr>
                <w:rFonts w:cs="Calibri"/>
                <w:color w:val="000000"/>
              </w:rPr>
            </w:pPr>
            <w:r w:rsidRPr="00F44F97">
              <w:rPr>
                <w:rFonts w:cs="Calibri"/>
                <w:color w:val="000000"/>
              </w:rPr>
              <w:t xml:space="preserve">4th </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jc w:val="center"/>
              <w:rPr>
                <w:rFonts w:cs="Calibri"/>
                <w:color w:val="000000"/>
              </w:rPr>
            </w:pPr>
            <w:r w:rsidRPr="00F44F97">
              <w:rPr>
                <w:rFonts w:cs="Calibri"/>
                <w:color w:val="000000"/>
              </w:rPr>
              <w:t xml:space="preserve">5th </w:t>
            </w:r>
          </w:p>
        </w:tc>
      </w:tr>
      <w:tr w:rsidR="001670EC" w:rsidRPr="00680D98" w:rsidTr="00B740C1">
        <w:trPr>
          <w:trHeight w:val="300"/>
        </w:trPr>
        <w:tc>
          <w:tcPr>
            <w:tcW w:w="4740" w:type="dxa"/>
            <w:tcBorders>
              <w:top w:val="nil"/>
              <w:left w:val="nil"/>
              <w:bottom w:val="nil"/>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Prevent chronic disease</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39.7</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19.2</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13.2</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16.7</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10.9</w:t>
            </w:r>
          </w:p>
        </w:tc>
      </w:tr>
      <w:tr w:rsidR="001670EC" w:rsidRPr="00680D98" w:rsidTr="00B740C1">
        <w:trPr>
          <w:trHeight w:val="300"/>
        </w:trPr>
        <w:tc>
          <w:tcPr>
            <w:tcW w:w="4740" w:type="dxa"/>
            <w:tcBorders>
              <w:top w:val="nil"/>
              <w:left w:val="nil"/>
              <w:bottom w:val="nil"/>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Promote mental health; prevent substance abuse</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22.5</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23.1</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24.5</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26.4</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3.5</w:t>
            </w:r>
          </w:p>
        </w:tc>
      </w:tr>
      <w:tr w:rsidR="001670EC" w:rsidRPr="00680D98" w:rsidTr="00B740C1">
        <w:trPr>
          <w:trHeight w:val="300"/>
        </w:trPr>
        <w:tc>
          <w:tcPr>
            <w:tcW w:w="4740" w:type="dxa"/>
            <w:tcBorders>
              <w:top w:val="nil"/>
              <w:left w:val="nil"/>
              <w:bottom w:val="nil"/>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Promote healthy, safe environment</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22.1</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22.7</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21.4</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17.1</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16.7</w:t>
            </w:r>
          </w:p>
        </w:tc>
      </w:tr>
      <w:tr w:rsidR="001670EC" w:rsidRPr="00680D98" w:rsidTr="00B740C1">
        <w:trPr>
          <w:trHeight w:val="300"/>
        </w:trPr>
        <w:tc>
          <w:tcPr>
            <w:tcW w:w="4740" w:type="dxa"/>
            <w:tcBorders>
              <w:top w:val="nil"/>
              <w:left w:val="nil"/>
              <w:bottom w:val="nil"/>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Promote healthy women &amp; children</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11.5</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31.5</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34.2</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16.7</w:t>
            </w:r>
          </w:p>
        </w:tc>
        <w:tc>
          <w:tcPr>
            <w:tcW w:w="940" w:type="dxa"/>
            <w:tcBorders>
              <w:top w:val="nil"/>
              <w:left w:val="nil"/>
              <w:bottom w:val="nil"/>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6.6</w:t>
            </w:r>
          </w:p>
        </w:tc>
      </w:tr>
      <w:tr w:rsidR="001670EC" w:rsidRPr="00680D98" w:rsidTr="00B740C1">
        <w:trPr>
          <w:trHeight w:val="300"/>
        </w:trPr>
        <w:tc>
          <w:tcPr>
            <w:tcW w:w="4740" w:type="dxa"/>
            <w:tcBorders>
              <w:top w:val="nil"/>
              <w:left w:val="nil"/>
              <w:bottom w:val="single" w:sz="4" w:space="0" w:color="auto"/>
              <w:right w:val="nil"/>
            </w:tcBorders>
            <w:noWrap/>
            <w:vAlign w:val="bottom"/>
          </w:tcPr>
          <w:p w:rsidR="001670EC" w:rsidRPr="00F44F97" w:rsidRDefault="001670EC" w:rsidP="00B740C1">
            <w:pPr>
              <w:spacing w:after="0" w:line="240" w:lineRule="auto"/>
              <w:rPr>
                <w:rFonts w:cs="Calibri"/>
                <w:color w:val="000000"/>
              </w:rPr>
            </w:pPr>
            <w:r w:rsidRPr="00F44F97">
              <w:rPr>
                <w:rFonts w:cs="Calibri"/>
                <w:color w:val="000000"/>
              </w:rPr>
              <w:t>Prevent HIV/STIs; promote vaccines</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4.2</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3.5</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6.6</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23.3</w:t>
            </w:r>
          </w:p>
        </w:tc>
        <w:tc>
          <w:tcPr>
            <w:tcW w:w="940" w:type="dxa"/>
            <w:tcBorders>
              <w:top w:val="nil"/>
              <w:left w:val="nil"/>
              <w:bottom w:val="single" w:sz="4" w:space="0" w:color="auto"/>
              <w:right w:val="nil"/>
            </w:tcBorders>
            <w:noWrap/>
            <w:vAlign w:val="bottom"/>
          </w:tcPr>
          <w:p w:rsidR="001670EC" w:rsidRPr="00F44F97" w:rsidRDefault="001670EC" w:rsidP="00B740C1">
            <w:pPr>
              <w:spacing w:after="0" w:line="240" w:lineRule="auto"/>
              <w:ind w:firstLineChars="100" w:firstLine="220"/>
              <w:jc w:val="right"/>
              <w:rPr>
                <w:rFonts w:cs="Calibri"/>
                <w:color w:val="000000"/>
              </w:rPr>
            </w:pPr>
            <w:r w:rsidRPr="00F44F97">
              <w:rPr>
                <w:rFonts w:cs="Calibri"/>
                <w:color w:val="000000"/>
              </w:rPr>
              <w:t>62.3</w:t>
            </w:r>
          </w:p>
        </w:tc>
      </w:tr>
    </w:tbl>
    <w:p w:rsidR="001670EC" w:rsidRDefault="001670EC" w:rsidP="00B418E2"/>
    <w:p w:rsidR="001670EC" w:rsidRDefault="001670EC" w:rsidP="00B418E2">
      <w:pPr>
        <w:pStyle w:val="Heading3"/>
      </w:pPr>
      <w:r>
        <w:t>Results of County-Specific Questions on Geographic Need and Targeting</w:t>
      </w:r>
    </w:p>
    <w:p w:rsidR="001670EC" w:rsidRDefault="003D1A5F" w:rsidP="00B418E2">
      <w:r>
        <w:rPr>
          <w:noProof/>
        </w:rPr>
        <w:pict>
          <v:shape id="_x0000_s1088" type="#_x0000_t202" style="position:absolute;margin-left:214.3pt;margin-top:52.5pt;width:27.4pt;height:25.7pt;z-index:251661312">
            <v:textbox>
              <w:txbxContent>
                <w:p w:rsidR="00CF7937" w:rsidRDefault="00CF7937">
                  <w:r>
                    <w:t>IX</w:t>
                  </w:r>
                </w:p>
              </w:txbxContent>
            </v:textbox>
          </v:shape>
        </w:pict>
      </w:r>
      <w:r w:rsidR="001670EC">
        <w:t>The county-specific questions in the survey focus on the identification of individual sub-county geographic areas that are in need of targeted efforts to address either emerging health issues or health issues that are part of the five NYS agenda areas. On every issue one response was consistently the most popular: “entire county.” As shown in Table 2, the portion of respondents that indicated the entire county of Fulton (or some variant such as “all”) should be targeted was consistently high, with a range from 68.9 percent to 83.3 percent. Still, it appears that Gloversville may be a problematic area for Fulton County, based on the portion of respondents that identified the area as being in need of targeted efforts. Support for targeted efforts to address emerging health problems, with one-third of respondents identifying Gloversville as the geography to be targeted.</w:t>
      </w:r>
    </w:p>
    <w:p w:rsidR="001670EC" w:rsidRDefault="001670EC" w:rsidP="00B418E2">
      <w:pPr>
        <w:rPr>
          <w:b/>
        </w:rPr>
      </w:pPr>
      <w:r w:rsidRPr="00B817FE">
        <w:rPr>
          <w:b/>
        </w:rPr>
        <w:t>Table 2. Percent of respondents identifying geographic target area by health issue</w:t>
      </w:r>
    </w:p>
    <w:tbl>
      <w:tblPr>
        <w:tblW w:w="9080" w:type="dxa"/>
        <w:tblInd w:w="93" w:type="dxa"/>
        <w:tblLook w:val="00A0"/>
      </w:tblPr>
      <w:tblGrid>
        <w:gridCol w:w="1660"/>
        <w:gridCol w:w="1060"/>
        <w:gridCol w:w="1060"/>
        <w:gridCol w:w="1060"/>
        <w:gridCol w:w="1060"/>
        <w:gridCol w:w="1060"/>
        <w:gridCol w:w="1117"/>
        <w:gridCol w:w="1060"/>
      </w:tblGrid>
      <w:tr w:rsidR="001670EC" w:rsidRPr="00680D98" w:rsidTr="00B740C1">
        <w:trPr>
          <w:trHeight w:val="300"/>
        </w:trPr>
        <w:tc>
          <w:tcPr>
            <w:tcW w:w="1660" w:type="dxa"/>
            <w:tcBorders>
              <w:top w:val="single" w:sz="4" w:space="0" w:color="auto"/>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 </w:t>
            </w:r>
          </w:p>
        </w:tc>
        <w:tc>
          <w:tcPr>
            <w:tcW w:w="7420" w:type="dxa"/>
            <w:gridSpan w:val="7"/>
            <w:tcBorders>
              <w:top w:val="single" w:sz="4" w:space="0" w:color="auto"/>
              <w:left w:val="nil"/>
              <w:bottom w:val="nil"/>
              <w:right w:val="nil"/>
            </w:tcBorders>
            <w:noWrap/>
            <w:vAlign w:val="bottom"/>
          </w:tcPr>
          <w:p w:rsidR="001670EC" w:rsidRPr="00204378" w:rsidRDefault="001670EC" w:rsidP="00B740C1">
            <w:pPr>
              <w:spacing w:after="0" w:line="240" w:lineRule="auto"/>
              <w:jc w:val="center"/>
              <w:rPr>
                <w:rFonts w:cs="Calibri"/>
                <w:color w:val="000000"/>
              </w:rPr>
            </w:pPr>
            <w:r w:rsidRPr="00204378">
              <w:rPr>
                <w:rFonts w:cs="Calibri"/>
                <w:color w:val="000000"/>
              </w:rPr>
              <w:t>Issue</w:t>
            </w:r>
          </w:p>
        </w:tc>
      </w:tr>
      <w:tr w:rsidR="001670EC" w:rsidRPr="00680D98" w:rsidTr="00B740C1">
        <w:trPr>
          <w:trHeight w:val="1200"/>
        </w:trPr>
        <w:tc>
          <w:tcPr>
            <w:tcW w:w="1660" w:type="dxa"/>
            <w:tcBorders>
              <w:top w:val="nil"/>
              <w:left w:val="nil"/>
              <w:bottom w:val="single" w:sz="4" w:space="0" w:color="auto"/>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 </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Emerging trend</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Chronic disease</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Healthy &amp; safe environ</w:t>
            </w:r>
            <w:r>
              <w:rPr>
                <w:rFonts w:cs="Calibri"/>
                <w:color w:val="000000"/>
              </w:rPr>
              <w:t>.</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Healthy women, children, infants</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Promote mental health</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Prevent substance abuse</w:t>
            </w:r>
          </w:p>
        </w:tc>
        <w:tc>
          <w:tcPr>
            <w:tcW w:w="1060" w:type="dxa"/>
            <w:tcBorders>
              <w:top w:val="nil"/>
              <w:left w:val="nil"/>
              <w:bottom w:val="single" w:sz="4" w:space="0" w:color="auto"/>
              <w:right w:val="nil"/>
            </w:tcBorders>
            <w:vAlign w:val="bottom"/>
          </w:tcPr>
          <w:p w:rsidR="001670EC" w:rsidRPr="00204378" w:rsidRDefault="001670EC" w:rsidP="00B740C1">
            <w:pPr>
              <w:spacing w:after="0" w:line="240" w:lineRule="auto"/>
              <w:jc w:val="center"/>
              <w:rPr>
                <w:rFonts w:cs="Calibri"/>
                <w:color w:val="000000"/>
              </w:rPr>
            </w:pPr>
            <w:r w:rsidRPr="00204378">
              <w:rPr>
                <w:rFonts w:cs="Calibri"/>
                <w:color w:val="000000"/>
              </w:rPr>
              <w:t>HIV, STIs, vaccine prevent diseases</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Entire county</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68.9</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80.5</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73.7</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76.3</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76.5</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83.3</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82.9</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Bleecker</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2.2</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Caroga</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2.2</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Ephratah</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2.2</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2.4</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2.6</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2.6</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2.9</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2.8</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2.9</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Gloversville</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33.3</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17.1</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26.3</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23.7</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17.6</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13.9</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11.4</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Johnstown</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11.1</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2.4</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5.3</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5.3</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2.9</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2.8</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Mayfield</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2.2</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Northville</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2.2</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Oppenheim</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4.4</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2.4</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2.6</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2.6</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2.9</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2.8</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2.9</w:t>
            </w:r>
          </w:p>
        </w:tc>
      </w:tr>
      <w:tr w:rsidR="001670EC" w:rsidRPr="00680D98" w:rsidTr="00B740C1">
        <w:trPr>
          <w:trHeight w:val="300"/>
        </w:trPr>
        <w:tc>
          <w:tcPr>
            <w:tcW w:w="1660" w:type="dxa"/>
            <w:tcBorders>
              <w:top w:val="nil"/>
              <w:left w:val="nil"/>
              <w:bottom w:val="nil"/>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Perth</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2.2</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nil"/>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r>
      <w:tr w:rsidR="001670EC" w:rsidRPr="00680D98" w:rsidTr="00B740C1">
        <w:trPr>
          <w:trHeight w:val="300"/>
        </w:trPr>
        <w:tc>
          <w:tcPr>
            <w:tcW w:w="1660" w:type="dxa"/>
            <w:tcBorders>
              <w:top w:val="nil"/>
              <w:left w:val="nil"/>
              <w:bottom w:val="single" w:sz="4" w:space="0" w:color="auto"/>
              <w:right w:val="nil"/>
            </w:tcBorders>
            <w:noWrap/>
            <w:vAlign w:val="bottom"/>
          </w:tcPr>
          <w:p w:rsidR="001670EC" w:rsidRPr="00204378" w:rsidRDefault="001670EC" w:rsidP="00B740C1">
            <w:pPr>
              <w:spacing w:after="0" w:line="240" w:lineRule="auto"/>
              <w:rPr>
                <w:rFonts w:cs="Calibri"/>
                <w:color w:val="000000"/>
              </w:rPr>
            </w:pPr>
            <w:r w:rsidRPr="00204378">
              <w:rPr>
                <w:rFonts w:cs="Calibri"/>
                <w:color w:val="000000"/>
              </w:rPr>
              <w:t>"Rural" areas</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0.0</w:t>
            </w:r>
          </w:p>
        </w:tc>
        <w:tc>
          <w:tcPr>
            <w:tcW w:w="1060" w:type="dxa"/>
            <w:tcBorders>
              <w:top w:val="nil"/>
              <w:left w:val="nil"/>
              <w:bottom w:val="single" w:sz="4" w:space="0" w:color="auto"/>
              <w:right w:val="nil"/>
            </w:tcBorders>
            <w:noWrap/>
            <w:vAlign w:val="bottom"/>
          </w:tcPr>
          <w:p w:rsidR="001670EC" w:rsidRPr="00204378" w:rsidRDefault="001670EC" w:rsidP="00B740C1">
            <w:pPr>
              <w:spacing w:after="0" w:line="240" w:lineRule="auto"/>
              <w:jc w:val="right"/>
              <w:rPr>
                <w:rFonts w:cs="Calibri"/>
                <w:color w:val="000000"/>
              </w:rPr>
            </w:pPr>
            <w:r w:rsidRPr="00204378">
              <w:rPr>
                <w:rFonts w:cs="Calibri"/>
                <w:color w:val="000000"/>
              </w:rPr>
              <w:t>2.9</w:t>
            </w:r>
          </w:p>
        </w:tc>
      </w:tr>
    </w:tbl>
    <w:p w:rsidR="001670EC" w:rsidRDefault="001670EC" w:rsidP="00B418E2"/>
    <w:p w:rsidR="001670EC" w:rsidRPr="009D3D40" w:rsidRDefault="001670EC" w:rsidP="00B418E2"/>
    <w:p w:rsidR="001670EC" w:rsidRDefault="001670EC" w:rsidP="0082598E">
      <w:bookmarkStart w:id="80" w:name="_Toc355250990"/>
    </w:p>
    <w:p w:rsidR="001670EC" w:rsidRDefault="001670EC" w:rsidP="0082598E"/>
    <w:p w:rsidR="001670EC" w:rsidRDefault="001670EC" w:rsidP="0082598E"/>
    <w:p w:rsidR="001670EC" w:rsidRDefault="001670EC" w:rsidP="0082598E"/>
    <w:p w:rsidR="001670EC" w:rsidRDefault="001670EC" w:rsidP="0082598E"/>
    <w:p w:rsidR="001670EC" w:rsidRDefault="001670EC" w:rsidP="0082598E"/>
    <w:p w:rsidR="001670EC" w:rsidRDefault="001670EC" w:rsidP="0082598E"/>
    <w:p w:rsidR="001670EC" w:rsidRDefault="001670EC" w:rsidP="0082598E"/>
    <w:p w:rsidR="001670EC" w:rsidRDefault="003D1A5F" w:rsidP="0082598E">
      <w:r>
        <w:rPr>
          <w:noProof/>
        </w:rPr>
        <w:pict>
          <v:shape id="_x0000_s1089" type="#_x0000_t202" style="position:absolute;margin-left:220.3pt;margin-top:38.1pt;width:27.4pt;height:25.7pt;z-index:251662336">
            <v:textbox>
              <w:txbxContent>
                <w:p w:rsidR="00CF7937" w:rsidRDefault="00CF7937" w:rsidP="00CF7937">
                  <w:r>
                    <w:t>X</w:t>
                  </w:r>
                </w:p>
              </w:txbxContent>
            </v:textbox>
          </v:shape>
        </w:pict>
      </w:r>
    </w:p>
    <w:p w:rsidR="001670EC" w:rsidRDefault="001670EC" w:rsidP="0082598E"/>
    <w:p w:rsidR="001670EC" w:rsidRPr="0082598E" w:rsidRDefault="001670EC" w:rsidP="0082598E">
      <w:pPr>
        <w:rPr>
          <w:rFonts w:ascii="Cambria" w:hAnsi="Cambria"/>
          <w:b/>
          <w:color w:val="365F91"/>
          <w:sz w:val="28"/>
          <w:szCs w:val="28"/>
        </w:rPr>
      </w:pPr>
      <w:r w:rsidRPr="0082598E">
        <w:rPr>
          <w:rFonts w:ascii="Cambria" w:hAnsi="Cambria"/>
          <w:b/>
          <w:color w:val="365F91"/>
          <w:sz w:val="28"/>
          <w:szCs w:val="28"/>
        </w:rPr>
        <w:t>Appendix 4:  Other</w:t>
      </w:r>
      <w:bookmarkEnd w:id="80"/>
    </w:p>
    <w:p w:rsidR="001670EC" w:rsidRPr="003A4A5C" w:rsidRDefault="001670EC" w:rsidP="003A4A5C">
      <w:pPr>
        <w:spacing w:after="0" w:line="240" w:lineRule="auto"/>
        <w:jc w:val="center"/>
        <w:rPr>
          <w:b/>
          <w:sz w:val="24"/>
          <w:szCs w:val="24"/>
        </w:rPr>
      </w:pPr>
      <w:r w:rsidRPr="003A4A5C">
        <w:rPr>
          <w:b/>
          <w:sz w:val="24"/>
          <w:szCs w:val="24"/>
        </w:rPr>
        <w:t>Community Health Needs Assessment Process</w:t>
      </w:r>
      <w:r>
        <w:rPr>
          <w:b/>
          <w:sz w:val="24"/>
          <w:szCs w:val="24"/>
        </w:rPr>
        <w:t xml:space="preserve"> </w:t>
      </w:r>
      <w:r w:rsidRPr="003A4A5C">
        <w:rPr>
          <w:b/>
          <w:sz w:val="24"/>
          <w:szCs w:val="24"/>
        </w:rPr>
        <w:t>– Data Consultants</w:t>
      </w:r>
    </w:p>
    <w:p w:rsidR="001670EC" w:rsidRPr="00E55737" w:rsidRDefault="001670EC" w:rsidP="00E55737">
      <w:pPr>
        <w:spacing w:after="0" w:line="240" w:lineRule="auto"/>
        <w:rPr>
          <w:b/>
          <w:i/>
        </w:rPr>
      </w:pPr>
    </w:p>
    <w:p w:rsidR="001670EC" w:rsidRPr="003A4A5C" w:rsidRDefault="001670EC" w:rsidP="00E55737">
      <w:pPr>
        <w:spacing w:after="0" w:line="240" w:lineRule="auto"/>
        <w:rPr>
          <w:i/>
          <w:sz w:val="24"/>
          <w:szCs w:val="24"/>
          <w:u w:val="single"/>
        </w:rPr>
      </w:pPr>
      <w:r w:rsidRPr="003A4A5C">
        <w:rPr>
          <w:i/>
          <w:sz w:val="24"/>
          <w:szCs w:val="24"/>
          <w:u w:val="single"/>
        </w:rPr>
        <w:t>Center for Health Workforce Studies, University at Albany School of Public Health</w:t>
      </w:r>
    </w:p>
    <w:p w:rsidR="001670EC" w:rsidRPr="00E55737" w:rsidRDefault="001670EC" w:rsidP="00E55737">
      <w:pPr>
        <w:spacing w:after="0" w:line="240" w:lineRule="auto"/>
        <w:rPr>
          <w:b/>
          <w:i/>
        </w:rPr>
      </w:pPr>
    </w:p>
    <w:p w:rsidR="001670EC" w:rsidRPr="00E55737" w:rsidRDefault="001670EC" w:rsidP="00E55737">
      <w:pPr>
        <w:spacing w:after="0" w:line="240" w:lineRule="auto"/>
      </w:pPr>
      <w:r w:rsidRPr="00E55737">
        <w:t>Tracey Continelli, PhD, Graduate Research Assistant</w:t>
      </w:r>
    </w:p>
    <w:p w:rsidR="001670EC" w:rsidRPr="00E55737" w:rsidRDefault="001670EC" w:rsidP="00E55737">
      <w:pPr>
        <w:spacing w:after="0" w:line="240" w:lineRule="auto"/>
      </w:pPr>
    </w:p>
    <w:p w:rsidR="001670EC" w:rsidRPr="00E55737" w:rsidRDefault="001670EC" w:rsidP="00E55737">
      <w:pPr>
        <w:spacing w:after="0" w:line="240" w:lineRule="auto"/>
      </w:pPr>
      <w:r w:rsidRPr="00E55737">
        <w:t>Robert Martiniano, MPA, MPH, Research Associate</w:t>
      </w:r>
    </w:p>
    <w:p w:rsidR="001670EC" w:rsidRPr="00E55737" w:rsidRDefault="001670EC" w:rsidP="00E55737">
      <w:pPr>
        <w:spacing w:after="0" w:line="240" w:lineRule="auto"/>
      </w:pPr>
    </w:p>
    <w:p w:rsidR="001670EC" w:rsidRPr="00E55737" w:rsidRDefault="001670EC" w:rsidP="00E55737">
      <w:pPr>
        <w:spacing w:after="0" w:line="240" w:lineRule="auto"/>
      </w:pPr>
    </w:p>
    <w:p w:rsidR="001670EC" w:rsidRPr="003A4A5C" w:rsidRDefault="001670EC" w:rsidP="00E55737">
      <w:pPr>
        <w:spacing w:after="0" w:line="240" w:lineRule="auto"/>
        <w:rPr>
          <w:i/>
          <w:sz w:val="24"/>
          <w:szCs w:val="24"/>
          <w:u w:val="single"/>
        </w:rPr>
      </w:pPr>
      <w:r w:rsidRPr="003A4A5C">
        <w:rPr>
          <w:i/>
          <w:sz w:val="24"/>
          <w:szCs w:val="24"/>
          <w:u w:val="single"/>
        </w:rPr>
        <w:t>Center for Human Services Research, University at Albany</w:t>
      </w:r>
    </w:p>
    <w:p w:rsidR="001670EC" w:rsidRPr="00E55737" w:rsidRDefault="001670EC" w:rsidP="00E55737">
      <w:pPr>
        <w:spacing w:after="0" w:line="240" w:lineRule="auto"/>
        <w:rPr>
          <w:b/>
          <w:i/>
        </w:rPr>
      </w:pPr>
    </w:p>
    <w:p w:rsidR="001670EC" w:rsidRPr="00E55737" w:rsidRDefault="001670EC" w:rsidP="00E55737">
      <w:pPr>
        <w:spacing w:after="0" w:line="240" w:lineRule="auto"/>
      </w:pPr>
      <w:r w:rsidRPr="00E55737">
        <w:t>LuAnn McCormick, Ph.D., Senior Research Scientist</w:t>
      </w:r>
    </w:p>
    <w:p w:rsidR="001670EC" w:rsidRPr="00E55737" w:rsidRDefault="001670EC" w:rsidP="00E55737">
      <w:pPr>
        <w:spacing w:after="0" w:line="240" w:lineRule="auto"/>
      </w:pPr>
    </w:p>
    <w:p w:rsidR="001670EC" w:rsidRDefault="001670EC" w:rsidP="0082598E">
      <w:pPr>
        <w:spacing w:after="0" w:line="240" w:lineRule="auto"/>
      </w:pPr>
      <w:r w:rsidRPr="00E55737">
        <w:t>Bradley Watts, P</w:t>
      </w:r>
      <w:r>
        <w:t>h.D., Senior Research Scientist</w:t>
      </w:r>
    </w:p>
    <w:p w:rsidR="001670EC" w:rsidRPr="00C67055" w:rsidRDefault="001670EC" w:rsidP="0082598E">
      <w:pPr>
        <w:spacing w:after="0" w:line="240" w:lineRule="auto"/>
      </w:pPr>
    </w:p>
    <w:p w:rsidR="001670EC" w:rsidRPr="00E55737" w:rsidRDefault="001670EC" w:rsidP="00E55737">
      <w:pPr>
        <w:spacing w:after="0" w:line="240" w:lineRule="auto"/>
        <w:jc w:val="center"/>
        <w:rPr>
          <w:b/>
          <w:sz w:val="24"/>
          <w:szCs w:val="24"/>
        </w:rPr>
      </w:pPr>
      <w:r w:rsidRPr="00E55737">
        <w:rPr>
          <w:b/>
          <w:sz w:val="24"/>
          <w:szCs w:val="24"/>
        </w:rPr>
        <w:t>Adirondack Rural Health Network – Membership Affiliation, Steering Committee &amp; Community Health Planning Committee</w:t>
      </w:r>
    </w:p>
    <w:p w:rsidR="001670EC" w:rsidRPr="00E55737" w:rsidRDefault="001670EC" w:rsidP="00E55737">
      <w:pPr>
        <w:spacing w:after="0" w:line="240" w:lineRule="auto"/>
      </w:pPr>
      <w:r>
        <w:tab/>
      </w:r>
      <w:r>
        <w:tab/>
      </w:r>
      <w:r>
        <w:tab/>
      </w:r>
      <w:r>
        <w:tab/>
      </w:r>
      <w:r>
        <w:tab/>
      </w:r>
      <w:r>
        <w:tab/>
      </w:r>
      <w:r>
        <w:tab/>
      </w:r>
      <w:r>
        <w:tab/>
      </w:r>
      <w:r>
        <w:tab/>
      </w:r>
      <w:r>
        <w:tab/>
      </w:r>
      <w:r>
        <w:tab/>
      </w:r>
      <w:r>
        <w:tab/>
      </w:r>
      <w:r w:rsidRPr="00E55737">
        <w:tab/>
      </w:r>
      <w:r w:rsidRPr="00E55737">
        <w:tab/>
      </w:r>
      <w:r w:rsidRPr="00E55737">
        <w:tab/>
      </w:r>
      <w:r w:rsidRPr="00E55737">
        <w:tab/>
      </w:r>
      <w:r w:rsidRPr="00E55737">
        <w:tab/>
      </w:r>
      <w:r w:rsidRPr="00E55737">
        <w:tab/>
      </w:r>
      <w:r w:rsidRPr="00E55737">
        <w:tab/>
      </w:r>
      <w:r w:rsidRPr="00E55737">
        <w:tab/>
      </w:r>
      <w:r w:rsidRPr="00E55737">
        <w:tab/>
      </w:r>
      <w:r w:rsidRPr="00E55737">
        <w:tab/>
      </w:r>
      <w:r w:rsidRPr="00E55737">
        <w:tab/>
      </w:r>
      <w:r w:rsidRPr="00E55737">
        <w:tab/>
      </w:r>
      <w:r w:rsidRPr="00E55737">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01"/>
        <w:gridCol w:w="1422"/>
        <w:gridCol w:w="953"/>
      </w:tblGrid>
      <w:tr w:rsidR="001670EC" w:rsidRPr="00680D98" w:rsidTr="00680D98">
        <w:trPr>
          <w:trHeight w:val="440"/>
        </w:trPr>
        <w:tc>
          <w:tcPr>
            <w:tcW w:w="10548" w:type="dxa"/>
          </w:tcPr>
          <w:p w:rsidR="001670EC" w:rsidRPr="00680D98" w:rsidRDefault="001670EC" w:rsidP="00680D98">
            <w:pPr>
              <w:spacing w:after="0" w:line="240" w:lineRule="auto"/>
              <w:rPr>
                <w:b/>
              </w:rPr>
            </w:pPr>
            <w:r w:rsidRPr="00680D98">
              <w:rPr>
                <w:b/>
              </w:rPr>
              <w:t>Name and Organization</w:t>
            </w:r>
          </w:p>
        </w:tc>
        <w:tc>
          <w:tcPr>
            <w:tcW w:w="1530" w:type="dxa"/>
          </w:tcPr>
          <w:p w:rsidR="001670EC" w:rsidRPr="00680D98" w:rsidRDefault="001670EC" w:rsidP="00680D98">
            <w:pPr>
              <w:spacing w:after="0" w:line="240" w:lineRule="auto"/>
              <w:rPr>
                <w:b/>
              </w:rPr>
            </w:pPr>
            <w:r w:rsidRPr="00680D98">
              <w:rPr>
                <w:b/>
              </w:rPr>
              <w:t>Steering Committee</w:t>
            </w:r>
          </w:p>
        </w:tc>
        <w:tc>
          <w:tcPr>
            <w:tcW w:w="1098" w:type="dxa"/>
          </w:tcPr>
          <w:p w:rsidR="001670EC" w:rsidRPr="00680D98" w:rsidRDefault="001670EC" w:rsidP="00680D98">
            <w:pPr>
              <w:spacing w:after="0" w:line="240" w:lineRule="auto"/>
              <w:rPr>
                <w:b/>
              </w:rPr>
            </w:pPr>
            <w:r w:rsidRPr="00680D98">
              <w:rPr>
                <w:b/>
              </w:rPr>
              <w:t>CHPC</w:t>
            </w:r>
          </w:p>
        </w:tc>
      </w:tr>
      <w:tr w:rsidR="001670EC" w:rsidRPr="00680D98" w:rsidTr="00680D98">
        <w:tc>
          <w:tcPr>
            <w:tcW w:w="10548" w:type="dxa"/>
          </w:tcPr>
          <w:p w:rsidR="001670EC" w:rsidRPr="00680D98" w:rsidRDefault="001670EC" w:rsidP="00680D98">
            <w:pPr>
              <w:spacing w:after="0" w:line="240" w:lineRule="auto"/>
            </w:pPr>
            <w:r w:rsidRPr="00680D98">
              <w:t>Christina Akey, Health Educator, Fulton County Public Health</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Pat Auer, RN, Director, Warren County Health Services</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 xml:space="preserve">Linda Beers, Director, Essex County Public Health </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Sue Cridland, RN, BSN, Director of Community Education, HealthLink Littauer</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 xml:space="preserve">Jessica Darney-Buehler, CGS Public Health, Essex County Public Health </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Josy Delaney, MS, CHES, Community Wellness Specialist, Alice Hyde Medical Center</w:t>
            </w:r>
          </w:p>
        </w:tc>
        <w:tc>
          <w:tcPr>
            <w:tcW w:w="1530" w:type="dxa"/>
          </w:tcPr>
          <w:p w:rsidR="001670EC" w:rsidRPr="00680D98" w:rsidRDefault="001670EC" w:rsidP="00680D98">
            <w:pPr>
              <w:spacing w:after="0" w:line="240" w:lineRule="auto"/>
            </w:pPr>
            <w:r w:rsidRPr="00680D98">
              <w:t xml:space="preserve">       </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Dan Durkee, Health Educator Warren County Health Services</w:t>
            </w:r>
          </w:p>
        </w:tc>
        <w:tc>
          <w:tcPr>
            <w:tcW w:w="1530" w:type="dxa"/>
          </w:tcPr>
          <w:p w:rsidR="001670EC" w:rsidRPr="00680D98" w:rsidRDefault="001670EC" w:rsidP="00680D98">
            <w:pPr>
              <w:spacing w:after="0" w:line="240" w:lineRule="auto"/>
            </w:pPr>
            <w:r w:rsidRPr="00680D98">
              <w:t xml:space="preserve">       </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Denise Frederick, Director, Fulton County Public Health</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Peter Groff, Executive Director, Warren-Washington Association for Mental Health</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p>
        </w:tc>
      </w:tr>
      <w:tr w:rsidR="001670EC" w:rsidRPr="00680D98" w:rsidTr="00680D98">
        <w:tc>
          <w:tcPr>
            <w:tcW w:w="10548" w:type="dxa"/>
          </w:tcPr>
          <w:p w:rsidR="001670EC" w:rsidRPr="00680D98" w:rsidRDefault="001670EC" w:rsidP="00680D98">
            <w:pPr>
              <w:spacing w:after="0" w:line="240" w:lineRule="auto"/>
            </w:pPr>
            <w:r w:rsidRPr="00680D98">
              <w:t>Katie Jock, Champlain Valley Physicians Hospital Medical Center</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Chip Holmes, Chief Executive Officer, Inter-Lakes Health</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Jane Hooper, Director of Community Relations, Elizabethtown Community Hospital</w:t>
            </w:r>
          </w:p>
        </w:tc>
        <w:tc>
          <w:tcPr>
            <w:tcW w:w="1530" w:type="dxa"/>
          </w:tcPr>
          <w:p w:rsidR="001670EC" w:rsidRPr="00680D98" w:rsidRDefault="001670EC" w:rsidP="00680D98">
            <w:pPr>
              <w:spacing w:after="0" w:line="240" w:lineRule="auto"/>
            </w:pPr>
            <w:r w:rsidRPr="00680D98">
              <w:t xml:space="preserve">       </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Travis Howe, Director, Mountain Lakes Regional EMS Council</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p>
        </w:tc>
      </w:tr>
      <w:tr w:rsidR="001670EC" w:rsidRPr="00680D98" w:rsidTr="00680D98">
        <w:tc>
          <w:tcPr>
            <w:tcW w:w="10548" w:type="dxa"/>
          </w:tcPr>
          <w:p w:rsidR="001670EC" w:rsidRPr="00680D98" w:rsidRDefault="001670EC" w:rsidP="00680D98">
            <w:pPr>
              <w:spacing w:after="0" w:line="240" w:lineRule="auto"/>
            </w:pPr>
            <w:r w:rsidRPr="00680D98">
              <w:t>Patty Hunt, Director, Washington County Health Services</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Lottie Jameson, Executive Director, Hudson Mohawk AHEC</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Dot Jones, Director of Planning, Saratoga Hospital</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Robert Kleppang, Director, Hamilton County Community Services</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p>
        </w:tc>
      </w:tr>
      <w:tr w:rsidR="001670EC" w:rsidRPr="00680D98" w:rsidTr="00680D98">
        <w:tc>
          <w:tcPr>
            <w:tcW w:w="10548" w:type="dxa"/>
          </w:tcPr>
          <w:p w:rsidR="001670EC" w:rsidRPr="00680D98" w:rsidRDefault="001670EC" w:rsidP="00680D98">
            <w:pPr>
              <w:spacing w:after="0" w:line="240" w:lineRule="auto"/>
            </w:pPr>
            <w:r w:rsidRPr="00680D98">
              <w:t>Karen Levison, Director, Saratoga County Public Health</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Ginger Carriero, VP of Medical Practices, Alice Hyde Medical Center</w:t>
            </w:r>
          </w:p>
        </w:tc>
        <w:tc>
          <w:tcPr>
            <w:tcW w:w="1530" w:type="dxa"/>
          </w:tcPr>
          <w:p w:rsidR="001670EC" w:rsidRPr="00680D98" w:rsidRDefault="001670EC" w:rsidP="00680D98">
            <w:pPr>
              <w:spacing w:after="0" w:line="240" w:lineRule="auto"/>
            </w:pPr>
            <w:r w:rsidRPr="00680D98">
              <w:t xml:space="preserve">     </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3D1A5F" w:rsidP="00680D98">
            <w:pPr>
              <w:spacing w:after="0" w:line="240" w:lineRule="auto"/>
            </w:pPr>
            <w:r>
              <w:rPr>
                <w:noProof/>
              </w:rPr>
              <w:pict>
                <v:shape id="_x0000_s1090" type="#_x0000_t202" style="position:absolute;margin-left:219.45pt;margin-top:28.4pt;width:27.4pt;height:25.7pt;z-index:251663360;mso-position-horizontal-relative:text;mso-position-vertical-relative:text">
                  <v:textbox>
                    <w:txbxContent>
                      <w:p w:rsidR="00CF7937" w:rsidRDefault="00CF7937" w:rsidP="00CF7937">
                        <w:r>
                          <w:t>XI</w:t>
                        </w:r>
                      </w:p>
                    </w:txbxContent>
                  </v:textbox>
                </v:shape>
              </w:pict>
            </w:r>
            <w:r w:rsidR="001670EC" w:rsidRPr="00680D98">
              <w:t>Cheryl McGratten, VP of Development, Nathan Littauer Hospital</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Tracy Mills, Director, Research &amp; Planning, Glens Falls Hospital</w:t>
            </w:r>
          </w:p>
        </w:tc>
        <w:tc>
          <w:tcPr>
            <w:tcW w:w="1530" w:type="dxa"/>
          </w:tcPr>
          <w:p w:rsidR="001670EC" w:rsidRPr="00680D98" w:rsidRDefault="001670EC" w:rsidP="00680D98">
            <w:pPr>
              <w:spacing w:after="0" w:line="240" w:lineRule="auto"/>
            </w:pPr>
            <w:r w:rsidRPr="00680D98">
              <w:t xml:space="preserve">    </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 xml:space="preserve">Megan Murphy, Grants &amp; Strategic Projects Director, Adirondack Health </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 xml:space="preserve">Sue Patterson, Public Health Educator, Franklin County Public Health </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Jeri Reid, Director, Clinton County Health Department</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John Rugge, MD, Chief Executive Officer, Hudson Headwaters Health Network</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p>
        </w:tc>
      </w:tr>
      <w:tr w:rsidR="001670EC" w:rsidRPr="00680D98" w:rsidTr="00680D98">
        <w:tc>
          <w:tcPr>
            <w:tcW w:w="10548" w:type="dxa"/>
          </w:tcPr>
          <w:p w:rsidR="001670EC" w:rsidRPr="00680D98" w:rsidRDefault="001670EC" w:rsidP="00680D98">
            <w:pPr>
              <w:spacing w:after="0" w:line="240" w:lineRule="auto"/>
            </w:pPr>
            <w:r w:rsidRPr="00680D98">
              <w:t>Beth Ryan, Director, Hamilton County Public Health</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Paul Scimeca, Vice President, Physician Practices and Community Health, Glens Falls Hospital</w:t>
            </w:r>
          </w:p>
        </w:tc>
        <w:tc>
          <w:tcPr>
            <w:tcW w:w="1530" w:type="dxa"/>
          </w:tcPr>
          <w:p w:rsidR="001670EC" w:rsidRPr="00680D98" w:rsidRDefault="001670EC" w:rsidP="00680D98">
            <w:pPr>
              <w:spacing w:after="0" w:line="240" w:lineRule="auto"/>
            </w:pPr>
          </w:p>
        </w:tc>
        <w:tc>
          <w:tcPr>
            <w:tcW w:w="1098" w:type="dxa"/>
          </w:tcPr>
          <w:p w:rsidR="001670EC" w:rsidRPr="00680D98" w:rsidRDefault="001670EC" w:rsidP="00680D98">
            <w:pPr>
              <w:spacing w:after="0" w:line="240" w:lineRule="auto"/>
            </w:pPr>
            <w:r w:rsidRPr="00680D98">
              <w:t xml:space="preserve">       X</w:t>
            </w:r>
          </w:p>
        </w:tc>
      </w:tr>
      <w:tr w:rsidR="001670EC" w:rsidRPr="00680D98" w:rsidTr="00680D98">
        <w:tc>
          <w:tcPr>
            <w:tcW w:w="10548" w:type="dxa"/>
          </w:tcPr>
          <w:p w:rsidR="001670EC" w:rsidRPr="00680D98" w:rsidRDefault="001670EC" w:rsidP="00680D98">
            <w:pPr>
              <w:spacing w:after="0" w:line="240" w:lineRule="auto"/>
            </w:pPr>
            <w:r w:rsidRPr="00680D98">
              <w:t>Trip Shannon, Chief Development Officer, Hudson Headwaters Health Network</w:t>
            </w:r>
          </w:p>
        </w:tc>
        <w:tc>
          <w:tcPr>
            <w:tcW w:w="1530" w:type="dxa"/>
          </w:tcPr>
          <w:p w:rsidR="001670EC" w:rsidRPr="00680D98" w:rsidRDefault="001670EC" w:rsidP="00680D98">
            <w:pPr>
              <w:spacing w:after="0" w:line="240" w:lineRule="auto"/>
            </w:pPr>
            <w:r w:rsidRPr="00680D98">
              <w:t xml:space="preserve">       X</w:t>
            </w:r>
          </w:p>
        </w:tc>
        <w:tc>
          <w:tcPr>
            <w:tcW w:w="1098" w:type="dxa"/>
          </w:tcPr>
          <w:p w:rsidR="001670EC" w:rsidRPr="00680D98" w:rsidRDefault="001670EC" w:rsidP="00680D98">
            <w:pPr>
              <w:spacing w:after="0" w:line="240" w:lineRule="auto"/>
            </w:pPr>
          </w:p>
        </w:tc>
      </w:tr>
    </w:tbl>
    <w:p w:rsidR="001670EC" w:rsidRDefault="001670EC" w:rsidP="0082598E">
      <w:pPr>
        <w:spacing w:before="480"/>
        <w:jc w:val="center"/>
      </w:pPr>
      <w:r>
        <w:tab/>
      </w:r>
    </w:p>
    <w:p w:rsidR="001670EC" w:rsidRPr="00E55737" w:rsidRDefault="001670EC" w:rsidP="00E55737">
      <w:pPr>
        <w:spacing w:after="0" w:line="240" w:lineRule="auto"/>
      </w:pPr>
    </w:p>
    <w:p w:rsidR="001670EC" w:rsidRPr="00423B0B" w:rsidRDefault="001670EC" w:rsidP="0082598E">
      <w:pPr>
        <w:spacing w:after="0" w:line="240" w:lineRule="auto"/>
        <w:rPr>
          <w:b/>
          <w:sz w:val="24"/>
          <w:szCs w:val="24"/>
        </w:rPr>
      </w:pPr>
      <w:r w:rsidRPr="00423B0B">
        <w:rPr>
          <w:b/>
          <w:sz w:val="24"/>
          <w:szCs w:val="24"/>
        </w:rPr>
        <w:t>Community Health Planning Committee – Meeti</w:t>
      </w:r>
      <w:r>
        <w:rPr>
          <w:b/>
          <w:sz w:val="24"/>
          <w:szCs w:val="24"/>
        </w:rPr>
        <w:t>ng Schedule and Attendance List</w:t>
      </w:r>
    </w:p>
    <w:p w:rsidR="001670EC" w:rsidRPr="00E55737" w:rsidRDefault="001670EC" w:rsidP="00E55737">
      <w:pPr>
        <w:spacing w:after="0" w:line="240" w:lineRule="auto"/>
      </w:pPr>
    </w:p>
    <w:p w:rsidR="001670EC" w:rsidRPr="00E55737" w:rsidRDefault="001670EC" w:rsidP="00E55737">
      <w:pPr>
        <w:spacing w:after="0" w:line="240" w:lineRule="auto"/>
        <w:rPr>
          <w:sz w:val="24"/>
          <w:szCs w:val="24"/>
        </w:rPr>
      </w:pPr>
      <w:r w:rsidRPr="00E55737">
        <w:rPr>
          <w:b/>
          <w:sz w:val="24"/>
          <w:szCs w:val="24"/>
        </w:rPr>
        <w:t>Participating Organization</w:t>
      </w:r>
      <w:r w:rsidRPr="00E55737">
        <w:rPr>
          <w:sz w:val="24"/>
          <w:szCs w:val="24"/>
        </w:rPr>
        <w:tab/>
      </w:r>
      <w:r w:rsidRPr="00E55737">
        <w:rPr>
          <w:sz w:val="24"/>
          <w:szCs w:val="24"/>
        </w:rPr>
        <w:tab/>
      </w:r>
      <w:r w:rsidRPr="00E55737">
        <w:rPr>
          <w:sz w:val="24"/>
          <w:szCs w:val="24"/>
        </w:rPr>
        <w:tab/>
      </w:r>
      <w:r w:rsidRPr="00E55737">
        <w:rPr>
          <w:sz w:val="24"/>
          <w:szCs w:val="24"/>
        </w:rPr>
        <w:tab/>
      </w:r>
      <w:r w:rsidRPr="00E55737">
        <w:rPr>
          <w:sz w:val="24"/>
          <w:szCs w:val="24"/>
        </w:rPr>
        <w:tab/>
      </w:r>
      <w:r w:rsidRPr="00E55737">
        <w:rPr>
          <w:sz w:val="24"/>
          <w:szCs w:val="24"/>
        </w:rPr>
        <w:tab/>
      </w:r>
      <w:r w:rsidRPr="00E55737">
        <w:rPr>
          <w:b/>
          <w:sz w:val="24"/>
          <w:szCs w:val="24"/>
        </w:rPr>
        <w:t>Meeting Date</w:t>
      </w:r>
    </w:p>
    <w:tbl>
      <w:tblPr>
        <w:tblW w:w="111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40"/>
        <w:gridCol w:w="1080"/>
        <w:gridCol w:w="1035"/>
        <w:gridCol w:w="1125"/>
        <w:gridCol w:w="1260"/>
        <w:gridCol w:w="1170"/>
        <w:gridCol w:w="1170"/>
        <w:gridCol w:w="1080"/>
      </w:tblGrid>
      <w:tr w:rsidR="001670EC" w:rsidRPr="00680D98" w:rsidTr="00680D98">
        <w:trPr>
          <w:trHeight w:val="269"/>
        </w:trPr>
        <w:tc>
          <w:tcPr>
            <w:tcW w:w="3240" w:type="dxa"/>
          </w:tcPr>
          <w:p w:rsidR="001670EC" w:rsidRPr="00680D98" w:rsidRDefault="001670EC" w:rsidP="00680D98">
            <w:pPr>
              <w:spacing w:after="0" w:line="240" w:lineRule="auto"/>
              <w:rPr>
                <w:sz w:val="24"/>
                <w:szCs w:val="24"/>
              </w:rPr>
            </w:pPr>
          </w:p>
        </w:tc>
        <w:tc>
          <w:tcPr>
            <w:tcW w:w="1080" w:type="dxa"/>
          </w:tcPr>
          <w:p w:rsidR="001670EC" w:rsidRPr="00680D98" w:rsidRDefault="001670EC" w:rsidP="00680D98">
            <w:pPr>
              <w:spacing w:after="0" w:line="240" w:lineRule="auto"/>
              <w:jc w:val="center"/>
              <w:rPr>
                <w:b/>
                <w:sz w:val="24"/>
                <w:szCs w:val="24"/>
              </w:rPr>
            </w:pPr>
            <w:r w:rsidRPr="00680D98">
              <w:rPr>
                <w:b/>
                <w:sz w:val="24"/>
                <w:szCs w:val="24"/>
              </w:rPr>
              <w:t>2/28/12</w:t>
            </w:r>
          </w:p>
        </w:tc>
        <w:tc>
          <w:tcPr>
            <w:tcW w:w="1035" w:type="dxa"/>
          </w:tcPr>
          <w:p w:rsidR="001670EC" w:rsidRPr="00680D98" w:rsidRDefault="001670EC" w:rsidP="00680D98">
            <w:pPr>
              <w:spacing w:after="0" w:line="240" w:lineRule="auto"/>
              <w:jc w:val="center"/>
              <w:rPr>
                <w:b/>
                <w:sz w:val="24"/>
                <w:szCs w:val="24"/>
              </w:rPr>
            </w:pPr>
            <w:r w:rsidRPr="00680D98">
              <w:rPr>
                <w:b/>
                <w:sz w:val="24"/>
                <w:szCs w:val="24"/>
              </w:rPr>
              <w:t>4/17/12</w:t>
            </w:r>
          </w:p>
        </w:tc>
        <w:tc>
          <w:tcPr>
            <w:tcW w:w="1125" w:type="dxa"/>
          </w:tcPr>
          <w:p w:rsidR="001670EC" w:rsidRPr="00680D98" w:rsidRDefault="001670EC" w:rsidP="00680D98">
            <w:pPr>
              <w:spacing w:after="0" w:line="240" w:lineRule="auto"/>
              <w:jc w:val="center"/>
              <w:rPr>
                <w:b/>
                <w:sz w:val="24"/>
                <w:szCs w:val="24"/>
              </w:rPr>
            </w:pPr>
            <w:r w:rsidRPr="00680D98">
              <w:rPr>
                <w:b/>
                <w:sz w:val="24"/>
                <w:szCs w:val="24"/>
              </w:rPr>
              <w:t>6/28/12</w:t>
            </w:r>
          </w:p>
        </w:tc>
        <w:tc>
          <w:tcPr>
            <w:tcW w:w="1260" w:type="dxa"/>
          </w:tcPr>
          <w:p w:rsidR="001670EC" w:rsidRPr="00680D98" w:rsidRDefault="001670EC" w:rsidP="00680D98">
            <w:pPr>
              <w:spacing w:after="0" w:line="240" w:lineRule="auto"/>
              <w:jc w:val="center"/>
              <w:rPr>
                <w:b/>
                <w:sz w:val="24"/>
                <w:szCs w:val="24"/>
              </w:rPr>
            </w:pPr>
            <w:r w:rsidRPr="00680D98">
              <w:rPr>
                <w:b/>
                <w:sz w:val="24"/>
                <w:szCs w:val="24"/>
              </w:rPr>
              <w:t>10/11/12</w:t>
            </w:r>
          </w:p>
        </w:tc>
        <w:tc>
          <w:tcPr>
            <w:tcW w:w="1170" w:type="dxa"/>
          </w:tcPr>
          <w:p w:rsidR="001670EC" w:rsidRPr="00680D98" w:rsidRDefault="001670EC" w:rsidP="00680D98">
            <w:pPr>
              <w:spacing w:after="0" w:line="240" w:lineRule="auto"/>
              <w:jc w:val="center"/>
              <w:rPr>
                <w:b/>
                <w:sz w:val="24"/>
                <w:szCs w:val="24"/>
              </w:rPr>
            </w:pPr>
            <w:r w:rsidRPr="00680D98">
              <w:rPr>
                <w:b/>
                <w:sz w:val="24"/>
                <w:szCs w:val="24"/>
              </w:rPr>
              <w:t>12/13/12</w:t>
            </w:r>
          </w:p>
        </w:tc>
        <w:tc>
          <w:tcPr>
            <w:tcW w:w="1170" w:type="dxa"/>
          </w:tcPr>
          <w:p w:rsidR="001670EC" w:rsidRPr="00680D98" w:rsidRDefault="001670EC" w:rsidP="00680D98">
            <w:pPr>
              <w:spacing w:after="0" w:line="240" w:lineRule="auto"/>
              <w:jc w:val="center"/>
              <w:rPr>
                <w:b/>
                <w:sz w:val="24"/>
                <w:szCs w:val="24"/>
              </w:rPr>
            </w:pPr>
            <w:r w:rsidRPr="00680D98">
              <w:rPr>
                <w:b/>
                <w:sz w:val="24"/>
                <w:szCs w:val="24"/>
              </w:rPr>
              <w:t>3/28/13</w:t>
            </w:r>
          </w:p>
        </w:tc>
        <w:tc>
          <w:tcPr>
            <w:tcW w:w="1080" w:type="dxa"/>
          </w:tcPr>
          <w:p w:rsidR="001670EC" w:rsidRPr="00680D98" w:rsidRDefault="001670EC" w:rsidP="00680D98">
            <w:pPr>
              <w:spacing w:after="0" w:line="240" w:lineRule="auto"/>
              <w:jc w:val="center"/>
              <w:rPr>
                <w:b/>
                <w:sz w:val="24"/>
                <w:szCs w:val="24"/>
              </w:rPr>
            </w:pPr>
            <w:r w:rsidRPr="00680D98">
              <w:rPr>
                <w:b/>
                <w:sz w:val="24"/>
                <w:szCs w:val="24"/>
              </w:rPr>
              <w:t>4/26/13</w:t>
            </w:r>
          </w:p>
        </w:tc>
      </w:tr>
      <w:tr w:rsidR="001670EC" w:rsidRPr="00680D98" w:rsidTr="00680D98">
        <w:trPr>
          <w:trHeight w:val="269"/>
        </w:trPr>
        <w:tc>
          <w:tcPr>
            <w:tcW w:w="3240" w:type="dxa"/>
          </w:tcPr>
          <w:p w:rsidR="001670EC" w:rsidRPr="00680D98" w:rsidRDefault="001670EC" w:rsidP="00680D98">
            <w:pPr>
              <w:spacing w:after="0" w:line="240" w:lineRule="auto"/>
            </w:pPr>
            <w:r w:rsidRPr="00680D98">
              <w:t>Adirondack Health</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Alice Hyde Medical Center</w:t>
            </w:r>
          </w:p>
        </w:tc>
        <w:tc>
          <w:tcPr>
            <w:tcW w:w="1080" w:type="dxa"/>
          </w:tcPr>
          <w:p w:rsidR="001670EC" w:rsidRPr="00680D98" w:rsidRDefault="001670EC" w:rsidP="00680D98">
            <w:pPr>
              <w:spacing w:after="0" w:line="240" w:lineRule="auto"/>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CVPH Medical Center</w:t>
            </w:r>
          </w:p>
        </w:tc>
        <w:tc>
          <w:tcPr>
            <w:tcW w:w="1080" w:type="dxa"/>
          </w:tcPr>
          <w:p w:rsidR="001670EC" w:rsidRPr="00680D98" w:rsidRDefault="001670EC" w:rsidP="00680D98">
            <w:pPr>
              <w:spacing w:after="0" w:line="240" w:lineRule="auto"/>
            </w:pPr>
          </w:p>
        </w:tc>
        <w:tc>
          <w:tcPr>
            <w:tcW w:w="1035" w:type="dxa"/>
          </w:tcPr>
          <w:p w:rsidR="001670EC" w:rsidRPr="00680D98" w:rsidRDefault="001670EC" w:rsidP="00680D98">
            <w:pPr>
              <w:spacing w:after="0" w:line="240" w:lineRule="auto"/>
            </w:pPr>
          </w:p>
        </w:tc>
        <w:tc>
          <w:tcPr>
            <w:tcW w:w="1125" w:type="dxa"/>
          </w:tcPr>
          <w:p w:rsidR="001670EC" w:rsidRPr="00680D98" w:rsidRDefault="001670EC" w:rsidP="00680D98">
            <w:pPr>
              <w:spacing w:after="0" w:line="240" w:lineRule="auto"/>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680D98">
            <w:pPr>
              <w:spacing w:after="0" w:line="240" w:lineRule="auto"/>
            </w:pPr>
          </w:p>
        </w:tc>
        <w:tc>
          <w:tcPr>
            <w:tcW w:w="1170" w:type="dxa"/>
          </w:tcPr>
          <w:p w:rsidR="001670EC" w:rsidRPr="00680D98" w:rsidRDefault="001670EC" w:rsidP="00680D98">
            <w:pPr>
              <w:spacing w:after="0" w:line="240" w:lineRule="auto"/>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Clinton County Health Department</w:t>
            </w:r>
          </w:p>
        </w:tc>
        <w:tc>
          <w:tcPr>
            <w:tcW w:w="1080" w:type="dxa"/>
          </w:tcPr>
          <w:p w:rsidR="001670EC" w:rsidRPr="00680D98" w:rsidRDefault="001670EC" w:rsidP="00680D98">
            <w:pPr>
              <w:spacing w:after="0" w:line="240" w:lineRule="auto"/>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680D98">
            <w:pPr>
              <w:spacing w:after="0" w:line="240" w:lineRule="auto"/>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Elizabethtown Community Hospital</w:t>
            </w:r>
          </w:p>
        </w:tc>
        <w:tc>
          <w:tcPr>
            <w:tcW w:w="1080" w:type="dxa"/>
          </w:tcPr>
          <w:p w:rsidR="001670EC" w:rsidRPr="00680D98" w:rsidRDefault="001670EC" w:rsidP="00680D98">
            <w:pPr>
              <w:spacing w:after="0" w:line="240" w:lineRule="auto"/>
            </w:pPr>
          </w:p>
        </w:tc>
        <w:tc>
          <w:tcPr>
            <w:tcW w:w="1035" w:type="dxa"/>
          </w:tcPr>
          <w:p w:rsidR="001670EC" w:rsidRPr="00680D98" w:rsidRDefault="001670EC" w:rsidP="00680D98">
            <w:pPr>
              <w:spacing w:after="0" w:line="240" w:lineRule="auto"/>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Essex County Public Health</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Franklin County Public Health</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680D98">
            <w:pPr>
              <w:spacing w:after="0" w:line="240" w:lineRule="auto"/>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680D98">
            <w:pPr>
              <w:spacing w:after="0" w:line="240" w:lineRule="auto"/>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Fulton County Public Health</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680D98">
            <w:pPr>
              <w:spacing w:after="0" w:line="240" w:lineRule="auto"/>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Glens Falls Hospital</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Hamilton County Public Health</w:t>
            </w:r>
          </w:p>
        </w:tc>
        <w:tc>
          <w:tcPr>
            <w:tcW w:w="1080" w:type="dxa"/>
          </w:tcPr>
          <w:p w:rsidR="001670EC" w:rsidRPr="00680D98" w:rsidRDefault="001670EC" w:rsidP="00680D98">
            <w:pPr>
              <w:spacing w:after="0" w:line="240" w:lineRule="auto"/>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680D98">
            <w:pPr>
              <w:spacing w:after="0" w:line="240" w:lineRule="auto"/>
            </w:pPr>
          </w:p>
        </w:tc>
        <w:tc>
          <w:tcPr>
            <w:tcW w:w="1260" w:type="dxa"/>
          </w:tcPr>
          <w:p w:rsidR="001670EC" w:rsidRPr="00680D98" w:rsidRDefault="001670EC" w:rsidP="00680D98">
            <w:pPr>
              <w:spacing w:after="0" w:line="240" w:lineRule="auto"/>
            </w:pPr>
          </w:p>
        </w:tc>
        <w:tc>
          <w:tcPr>
            <w:tcW w:w="1170" w:type="dxa"/>
          </w:tcPr>
          <w:p w:rsidR="001670EC" w:rsidRPr="00680D98" w:rsidRDefault="001670EC" w:rsidP="00680D98">
            <w:pPr>
              <w:spacing w:after="0" w:line="240" w:lineRule="auto"/>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680D98">
            <w:pPr>
              <w:spacing w:after="0" w:line="240" w:lineRule="auto"/>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Hudson Headwaters Health Network</w:t>
            </w:r>
          </w:p>
        </w:tc>
        <w:tc>
          <w:tcPr>
            <w:tcW w:w="1080" w:type="dxa"/>
          </w:tcPr>
          <w:p w:rsidR="001670EC" w:rsidRPr="00680D98" w:rsidRDefault="001670EC" w:rsidP="00680D98">
            <w:pPr>
              <w:spacing w:after="0" w:line="240" w:lineRule="auto"/>
              <w:ind w:left="360"/>
            </w:pPr>
          </w:p>
        </w:tc>
        <w:tc>
          <w:tcPr>
            <w:tcW w:w="1035" w:type="dxa"/>
          </w:tcPr>
          <w:p w:rsidR="001670EC" w:rsidRPr="00680D98" w:rsidRDefault="001670EC" w:rsidP="00680D98">
            <w:pPr>
              <w:spacing w:after="0" w:line="240" w:lineRule="auto"/>
            </w:pPr>
          </w:p>
        </w:tc>
        <w:tc>
          <w:tcPr>
            <w:tcW w:w="1125" w:type="dxa"/>
          </w:tcPr>
          <w:p w:rsidR="001670EC" w:rsidRPr="00680D98" w:rsidRDefault="001670EC" w:rsidP="00680D98">
            <w:pPr>
              <w:spacing w:after="0" w:line="240" w:lineRule="auto"/>
              <w:ind w:left="360"/>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680D98">
            <w:pPr>
              <w:spacing w:after="0" w:line="240" w:lineRule="auto"/>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Hudson Mohawk AHEC</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680D98">
            <w:pPr>
              <w:spacing w:after="0" w:line="240" w:lineRule="auto"/>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680D98">
            <w:pPr>
              <w:spacing w:after="0" w:line="240" w:lineRule="auto"/>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680D98">
            <w:pPr>
              <w:spacing w:after="0" w:line="240" w:lineRule="auto"/>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 xml:space="preserve">Inter-Lakes Health </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680D98">
            <w:pPr>
              <w:spacing w:after="0" w:line="240" w:lineRule="auto"/>
              <w:ind w:left="360"/>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Nathan Littauer Hospital</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Saratoga County Public Health</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680D98">
            <w:pPr>
              <w:spacing w:after="0" w:line="240" w:lineRule="auto"/>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Saratoga Hospital</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Tri-County United Way</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680D98">
            <w:pPr>
              <w:spacing w:after="0" w:line="240" w:lineRule="auto"/>
              <w:ind w:left="360"/>
            </w:pPr>
          </w:p>
        </w:tc>
        <w:tc>
          <w:tcPr>
            <w:tcW w:w="1170" w:type="dxa"/>
          </w:tcPr>
          <w:p w:rsidR="001670EC" w:rsidRPr="00680D98" w:rsidRDefault="001670EC" w:rsidP="00680D98">
            <w:pPr>
              <w:spacing w:after="0" w:line="240" w:lineRule="auto"/>
              <w:ind w:left="360"/>
            </w:pPr>
          </w:p>
        </w:tc>
        <w:tc>
          <w:tcPr>
            <w:tcW w:w="1170" w:type="dxa"/>
          </w:tcPr>
          <w:p w:rsidR="001670EC" w:rsidRPr="00680D98" w:rsidRDefault="001670EC" w:rsidP="00680D98">
            <w:pPr>
              <w:spacing w:after="0" w:line="240" w:lineRule="auto"/>
              <w:ind w:left="360"/>
            </w:pPr>
          </w:p>
        </w:tc>
        <w:tc>
          <w:tcPr>
            <w:tcW w:w="1080" w:type="dxa"/>
          </w:tcPr>
          <w:p w:rsidR="001670EC" w:rsidRPr="00680D98" w:rsidRDefault="001670EC" w:rsidP="00680D98">
            <w:pPr>
              <w:spacing w:after="0" w:line="240" w:lineRule="auto"/>
              <w:ind w:left="360"/>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Warren County Health Services</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r w:rsidR="001670EC" w:rsidRPr="00680D98" w:rsidTr="00680D98">
        <w:trPr>
          <w:trHeight w:val="269"/>
        </w:trPr>
        <w:tc>
          <w:tcPr>
            <w:tcW w:w="3240" w:type="dxa"/>
          </w:tcPr>
          <w:p w:rsidR="001670EC" w:rsidRPr="00680D98" w:rsidRDefault="001670EC" w:rsidP="00680D98">
            <w:pPr>
              <w:spacing w:after="0" w:line="240" w:lineRule="auto"/>
            </w:pPr>
            <w:r w:rsidRPr="00680D98">
              <w:t>Washington County Health Services</w:t>
            </w:r>
          </w:p>
        </w:tc>
        <w:tc>
          <w:tcPr>
            <w:tcW w:w="1080" w:type="dxa"/>
          </w:tcPr>
          <w:p w:rsidR="001670EC" w:rsidRPr="00680D98" w:rsidRDefault="001670EC" w:rsidP="00521C49">
            <w:pPr>
              <w:numPr>
                <w:ilvl w:val="0"/>
                <w:numId w:val="12"/>
              </w:numPr>
              <w:spacing w:after="0" w:line="240" w:lineRule="auto"/>
              <w:contextualSpacing/>
            </w:pPr>
          </w:p>
        </w:tc>
        <w:tc>
          <w:tcPr>
            <w:tcW w:w="1035" w:type="dxa"/>
          </w:tcPr>
          <w:p w:rsidR="001670EC" w:rsidRPr="00680D98" w:rsidRDefault="001670EC" w:rsidP="00521C49">
            <w:pPr>
              <w:numPr>
                <w:ilvl w:val="0"/>
                <w:numId w:val="12"/>
              </w:numPr>
              <w:spacing w:after="0" w:line="240" w:lineRule="auto"/>
              <w:contextualSpacing/>
            </w:pPr>
          </w:p>
        </w:tc>
        <w:tc>
          <w:tcPr>
            <w:tcW w:w="1125" w:type="dxa"/>
          </w:tcPr>
          <w:p w:rsidR="001670EC" w:rsidRPr="00680D98" w:rsidRDefault="001670EC" w:rsidP="00521C49">
            <w:pPr>
              <w:numPr>
                <w:ilvl w:val="0"/>
                <w:numId w:val="12"/>
              </w:numPr>
              <w:spacing w:after="0" w:line="240" w:lineRule="auto"/>
              <w:contextualSpacing/>
            </w:pPr>
          </w:p>
        </w:tc>
        <w:tc>
          <w:tcPr>
            <w:tcW w:w="126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170" w:type="dxa"/>
          </w:tcPr>
          <w:p w:rsidR="001670EC" w:rsidRPr="00680D98" w:rsidRDefault="001670EC" w:rsidP="00521C49">
            <w:pPr>
              <w:numPr>
                <w:ilvl w:val="0"/>
                <w:numId w:val="12"/>
              </w:numPr>
              <w:spacing w:after="0" w:line="240" w:lineRule="auto"/>
              <w:contextualSpacing/>
            </w:pPr>
          </w:p>
        </w:tc>
        <w:tc>
          <w:tcPr>
            <w:tcW w:w="1080" w:type="dxa"/>
          </w:tcPr>
          <w:p w:rsidR="001670EC" w:rsidRPr="00680D98" w:rsidRDefault="001670EC" w:rsidP="00521C49">
            <w:pPr>
              <w:numPr>
                <w:ilvl w:val="0"/>
                <w:numId w:val="12"/>
              </w:numPr>
              <w:spacing w:after="0" w:line="240" w:lineRule="auto"/>
              <w:contextualSpacing/>
            </w:pPr>
          </w:p>
        </w:tc>
      </w:tr>
    </w:tbl>
    <w:p w:rsidR="001670EC" w:rsidRDefault="001670EC" w:rsidP="00423B0B">
      <w:pPr>
        <w:spacing w:before="480"/>
      </w:pPr>
    </w:p>
    <w:p w:rsidR="001670EC" w:rsidRDefault="003D1A5F" w:rsidP="00423B0B">
      <w:pPr>
        <w:spacing w:before="480"/>
      </w:pPr>
      <w:r>
        <w:rPr>
          <w:noProof/>
        </w:rPr>
        <w:pict>
          <v:shape id="_x0000_s1091" type="#_x0000_t202" style="position:absolute;margin-left:219.45pt;margin-top:48.55pt;width:27.4pt;height:25.7pt;z-index:251664384">
            <v:textbox>
              <w:txbxContent>
                <w:p w:rsidR="00CF7937" w:rsidRDefault="00CF7937" w:rsidP="00CF7937">
                  <w:r>
                    <w:t>XII</w:t>
                  </w:r>
                </w:p>
              </w:txbxContent>
            </v:textbox>
          </v:shape>
        </w:pict>
      </w:r>
    </w:p>
    <w:p w:rsidR="001670EC" w:rsidRDefault="001670EC" w:rsidP="00423B0B">
      <w:pPr>
        <w:spacing w:before="480"/>
      </w:pPr>
    </w:p>
    <w:p w:rsidR="001670EC" w:rsidRPr="006807D1" w:rsidRDefault="001670EC" w:rsidP="0082598E">
      <w:pPr>
        <w:spacing w:after="0" w:line="240" w:lineRule="auto"/>
        <w:rPr>
          <w:b/>
          <w:sz w:val="28"/>
          <w:szCs w:val="28"/>
        </w:rPr>
      </w:pPr>
      <w:r w:rsidRPr="006807D1">
        <w:rPr>
          <w:b/>
          <w:sz w:val="28"/>
          <w:szCs w:val="28"/>
        </w:rPr>
        <w:t>Community Health Assessment Team – Meeting Schedule and Attendance List</w:t>
      </w:r>
    </w:p>
    <w:p w:rsidR="001670EC" w:rsidRDefault="001670EC" w:rsidP="001164E7">
      <w:pPr>
        <w:spacing w:after="0" w:line="240" w:lineRule="auto"/>
        <w:jc w:val="center"/>
        <w:rPr>
          <w:b/>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2"/>
        <w:gridCol w:w="1031"/>
        <w:gridCol w:w="1031"/>
        <w:gridCol w:w="1031"/>
        <w:gridCol w:w="1031"/>
      </w:tblGrid>
      <w:tr w:rsidR="001670EC" w:rsidRPr="00C6186A" w:rsidTr="00C6186A">
        <w:tc>
          <w:tcPr>
            <w:tcW w:w="6048" w:type="dxa"/>
          </w:tcPr>
          <w:p w:rsidR="001670EC" w:rsidRPr="00C6186A" w:rsidRDefault="001670EC" w:rsidP="00C6186A">
            <w:pPr>
              <w:spacing w:after="0" w:line="240" w:lineRule="auto"/>
              <w:rPr>
                <w:b/>
                <w:sz w:val="24"/>
                <w:szCs w:val="24"/>
              </w:rPr>
            </w:pPr>
            <w:r w:rsidRPr="00C6186A">
              <w:rPr>
                <w:b/>
                <w:sz w:val="24"/>
                <w:szCs w:val="24"/>
              </w:rPr>
              <w:t>CHAT Team</w:t>
            </w:r>
          </w:p>
        </w:tc>
        <w:tc>
          <w:tcPr>
            <w:tcW w:w="810" w:type="dxa"/>
          </w:tcPr>
          <w:p w:rsidR="001670EC" w:rsidRPr="00C6186A" w:rsidRDefault="001670EC" w:rsidP="00C6186A">
            <w:pPr>
              <w:spacing w:after="0" w:line="240" w:lineRule="auto"/>
              <w:rPr>
                <w:b/>
                <w:sz w:val="24"/>
                <w:szCs w:val="24"/>
              </w:rPr>
            </w:pPr>
            <w:r w:rsidRPr="00C6186A">
              <w:rPr>
                <w:b/>
                <w:sz w:val="24"/>
                <w:szCs w:val="24"/>
              </w:rPr>
              <w:t>5/13/13</w:t>
            </w:r>
          </w:p>
        </w:tc>
        <w:tc>
          <w:tcPr>
            <w:tcW w:w="990" w:type="dxa"/>
          </w:tcPr>
          <w:p w:rsidR="001670EC" w:rsidRPr="00C6186A" w:rsidRDefault="001670EC" w:rsidP="00C6186A">
            <w:pPr>
              <w:spacing w:after="0" w:line="240" w:lineRule="auto"/>
              <w:rPr>
                <w:b/>
                <w:sz w:val="24"/>
                <w:szCs w:val="24"/>
              </w:rPr>
            </w:pPr>
            <w:r w:rsidRPr="00C6186A">
              <w:rPr>
                <w:b/>
                <w:sz w:val="24"/>
                <w:szCs w:val="24"/>
              </w:rPr>
              <w:t>5/23/13</w:t>
            </w:r>
          </w:p>
        </w:tc>
        <w:tc>
          <w:tcPr>
            <w:tcW w:w="900" w:type="dxa"/>
          </w:tcPr>
          <w:p w:rsidR="001670EC" w:rsidRPr="00C6186A" w:rsidRDefault="001670EC" w:rsidP="00C6186A">
            <w:pPr>
              <w:spacing w:after="0" w:line="240" w:lineRule="auto"/>
              <w:rPr>
                <w:b/>
                <w:sz w:val="24"/>
                <w:szCs w:val="24"/>
              </w:rPr>
            </w:pPr>
            <w:r w:rsidRPr="00C6186A">
              <w:rPr>
                <w:b/>
                <w:sz w:val="24"/>
                <w:szCs w:val="24"/>
              </w:rPr>
              <w:t>6/10/13</w:t>
            </w:r>
          </w:p>
        </w:tc>
        <w:tc>
          <w:tcPr>
            <w:tcW w:w="828" w:type="dxa"/>
          </w:tcPr>
          <w:p w:rsidR="001670EC" w:rsidRPr="00C6186A" w:rsidRDefault="001670EC" w:rsidP="00C6186A">
            <w:pPr>
              <w:spacing w:after="0" w:line="240" w:lineRule="auto"/>
              <w:rPr>
                <w:b/>
                <w:sz w:val="24"/>
                <w:szCs w:val="24"/>
              </w:rPr>
            </w:pPr>
            <w:r w:rsidRPr="00C6186A">
              <w:rPr>
                <w:b/>
                <w:sz w:val="24"/>
                <w:szCs w:val="24"/>
              </w:rPr>
              <w:t>7/19/13</w:t>
            </w:r>
          </w:p>
        </w:tc>
      </w:tr>
      <w:tr w:rsidR="001670EC" w:rsidRPr="00C6186A" w:rsidTr="00C6186A">
        <w:tc>
          <w:tcPr>
            <w:tcW w:w="6048" w:type="dxa"/>
          </w:tcPr>
          <w:p w:rsidR="001670EC" w:rsidRPr="00C6186A" w:rsidRDefault="001670EC" w:rsidP="00C6186A">
            <w:pPr>
              <w:spacing w:after="0" w:line="240" w:lineRule="auto"/>
              <w:rPr>
                <w:sz w:val="24"/>
                <w:szCs w:val="24"/>
              </w:rPr>
            </w:pPr>
            <w:r w:rsidRPr="00C6186A">
              <w:rPr>
                <w:sz w:val="24"/>
                <w:szCs w:val="24"/>
              </w:rPr>
              <w:t>Denise Frederick, Fulton County Public Health</w:t>
            </w:r>
          </w:p>
        </w:tc>
        <w:tc>
          <w:tcPr>
            <w:tcW w:w="81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9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0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828" w:type="dxa"/>
          </w:tcPr>
          <w:p w:rsidR="001670EC" w:rsidRPr="00C6186A" w:rsidRDefault="001670EC" w:rsidP="00C6186A">
            <w:pPr>
              <w:spacing w:after="0" w:line="240" w:lineRule="auto"/>
              <w:jc w:val="center"/>
              <w:rPr>
                <w:b/>
                <w:sz w:val="24"/>
                <w:szCs w:val="24"/>
              </w:rPr>
            </w:pPr>
            <w:r w:rsidRPr="00C6186A">
              <w:rPr>
                <w:b/>
                <w:sz w:val="24"/>
                <w:szCs w:val="24"/>
              </w:rPr>
              <w:t>x</w:t>
            </w:r>
          </w:p>
        </w:tc>
      </w:tr>
      <w:tr w:rsidR="001670EC" w:rsidRPr="00C6186A" w:rsidTr="00C6186A">
        <w:tc>
          <w:tcPr>
            <w:tcW w:w="6048" w:type="dxa"/>
          </w:tcPr>
          <w:p w:rsidR="001670EC" w:rsidRPr="00C6186A" w:rsidRDefault="001670EC" w:rsidP="00C6186A">
            <w:pPr>
              <w:spacing w:after="0" w:line="240" w:lineRule="auto"/>
              <w:rPr>
                <w:sz w:val="24"/>
                <w:szCs w:val="24"/>
              </w:rPr>
            </w:pPr>
            <w:r w:rsidRPr="00C6186A">
              <w:rPr>
                <w:sz w:val="24"/>
                <w:szCs w:val="24"/>
              </w:rPr>
              <w:t>Christina Akey, Fulton County Public Health</w:t>
            </w:r>
          </w:p>
        </w:tc>
        <w:tc>
          <w:tcPr>
            <w:tcW w:w="81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9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0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828" w:type="dxa"/>
          </w:tcPr>
          <w:p w:rsidR="001670EC" w:rsidRPr="00C6186A" w:rsidRDefault="001670EC" w:rsidP="00C6186A">
            <w:pPr>
              <w:spacing w:after="0" w:line="240" w:lineRule="auto"/>
              <w:jc w:val="center"/>
              <w:rPr>
                <w:b/>
                <w:sz w:val="24"/>
                <w:szCs w:val="24"/>
              </w:rPr>
            </w:pPr>
            <w:r w:rsidRPr="00C6186A">
              <w:rPr>
                <w:b/>
                <w:sz w:val="24"/>
                <w:szCs w:val="24"/>
              </w:rPr>
              <w:t>x</w:t>
            </w:r>
          </w:p>
        </w:tc>
      </w:tr>
      <w:tr w:rsidR="001670EC" w:rsidRPr="00C6186A" w:rsidTr="00C6186A">
        <w:tc>
          <w:tcPr>
            <w:tcW w:w="6048" w:type="dxa"/>
          </w:tcPr>
          <w:p w:rsidR="001670EC" w:rsidRPr="00C6186A" w:rsidRDefault="001670EC" w:rsidP="00C6186A">
            <w:pPr>
              <w:spacing w:after="0" w:line="240" w:lineRule="auto"/>
              <w:rPr>
                <w:sz w:val="24"/>
                <w:szCs w:val="24"/>
              </w:rPr>
            </w:pPr>
            <w:r w:rsidRPr="00C6186A">
              <w:rPr>
                <w:sz w:val="24"/>
                <w:szCs w:val="24"/>
              </w:rPr>
              <w:t>Sue Cridland, Nathan Littauer Hospital</w:t>
            </w:r>
          </w:p>
        </w:tc>
        <w:tc>
          <w:tcPr>
            <w:tcW w:w="81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9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0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828" w:type="dxa"/>
          </w:tcPr>
          <w:p w:rsidR="001670EC" w:rsidRPr="00C6186A" w:rsidRDefault="001670EC" w:rsidP="00C6186A">
            <w:pPr>
              <w:spacing w:after="0" w:line="240" w:lineRule="auto"/>
              <w:jc w:val="center"/>
              <w:rPr>
                <w:b/>
                <w:sz w:val="24"/>
                <w:szCs w:val="24"/>
              </w:rPr>
            </w:pPr>
            <w:r w:rsidRPr="00C6186A">
              <w:rPr>
                <w:b/>
                <w:sz w:val="24"/>
                <w:szCs w:val="24"/>
              </w:rPr>
              <w:t>x</w:t>
            </w:r>
          </w:p>
        </w:tc>
      </w:tr>
      <w:tr w:rsidR="001670EC" w:rsidRPr="00C6186A" w:rsidTr="00C6186A">
        <w:tc>
          <w:tcPr>
            <w:tcW w:w="6048" w:type="dxa"/>
          </w:tcPr>
          <w:p w:rsidR="001670EC" w:rsidRPr="00C6186A" w:rsidRDefault="001670EC" w:rsidP="00C6186A">
            <w:pPr>
              <w:spacing w:after="0" w:line="240" w:lineRule="auto"/>
              <w:rPr>
                <w:sz w:val="24"/>
                <w:szCs w:val="24"/>
              </w:rPr>
            </w:pPr>
            <w:r w:rsidRPr="00C6186A">
              <w:rPr>
                <w:sz w:val="24"/>
                <w:szCs w:val="24"/>
              </w:rPr>
              <w:t>Cheryl McGratten, Nathan Littauer Hospital</w:t>
            </w:r>
          </w:p>
        </w:tc>
        <w:tc>
          <w:tcPr>
            <w:tcW w:w="81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90" w:type="dxa"/>
          </w:tcPr>
          <w:p w:rsidR="001670EC" w:rsidRPr="00C6186A" w:rsidRDefault="001670EC" w:rsidP="00C6186A">
            <w:pPr>
              <w:spacing w:after="0" w:line="240" w:lineRule="auto"/>
              <w:jc w:val="center"/>
              <w:rPr>
                <w:b/>
                <w:sz w:val="24"/>
                <w:szCs w:val="24"/>
              </w:rPr>
            </w:pPr>
            <w:r w:rsidRPr="00C6186A">
              <w:rPr>
                <w:b/>
                <w:sz w:val="24"/>
                <w:szCs w:val="24"/>
              </w:rPr>
              <w:t>x</w:t>
            </w:r>
          </w:p>
        </w:tc>
        <w:tc>
          <w:tcPr>
            <w:tcW w:w="900" w:type="dxa"/>
          </w:tcPr>
          <w:p w:rsidR="001670EC" w:rsidRPr="00C6186A" w:rsidRDefault="001670EC" w:rsidP="00C6186A">
            <w:pPr>
              <w:spacing w:after="0" w:line="240" w:lineRule="auto"/>
              <w:jc w:val="center"/>
              <w:rPr>
                <w:b/>
                <w:sz w:val="24"/>
                <w:szCs w:val="24"/>
              </w:rPr>
            </w:pPr>
          </w:p>
        </w:tc>
        <w:tc>
          <w:tcPr>
            <w:tcW w:w="828" w:type="dxa"/>
          </w:tcPr>
          <w:p w:rsidR="001670EC" w:rsidRPr="00C6186A" w:rsidRDefault="001670EC" w:rsidP="00C6186A">
            <w:pPr>
              <w:spacing w:after="0" w:line="240" w:lineRule="auto"/>
              <w:jc w:val="center"/>
              <w:rPr>
                <w:b/>
                <w:sz w:val="24"/>
                <w:szCs w:val="24"/>
              </w:rPr>
            </w:pPr>
            <w:r w:rsidRPr="00C6186A">
              <w:rPr>
                <w:b/>
                <w:sz w:val="24"/>
                <w:szCs w:val="24"/>
              </w:rPr>
              <w:t>x</w:t>
            </w:r>
          </w:p>
        </w:tc>
      </w:tr>
      <w:tr w:rsidR="001670EC" w:rsidRPr="00C6186A" w:rsidTr="00C6186A">
        <w:tc>
          <w:tcPr>
            <w:tcW w:w="6048" w:type="dxa"/>
          </w:tcPr>
          <w:p w:rsidR="001670EC" w:rsidRPr="00C6186A" w:rsidRDefault="001670EC" w:rsidP="00C6186A">
            <w:pPr>
              <w:spacing w:after="0" w:line="240" w:lineRule="auto"/>
              <w:rPr>
                <w:sz w:val="24"/>
                <w:szCs w:val="24"/>
              </w:rPr>
            </w:pPr>
            <w:r w:rsidRPr="00C6186A">
              <w:rPr>
                <w:sz w:val="24"/>
                <w:szCs w:val="24"/>
              </w:rPr>
              <w:t>Guest – Dale Woods, Fulton County Public Health</w:t>
            </w:r>
          </w:p>
        </w:tc>
        <w:tc>
          <w:tcPr>
            <w:tcW w:w="810" w:type="dxa"/>
          </w:tcPr>
          <w:p w:rsidR="001670EC" w:rsidRPr="00C6186A" w:rsidRDefault="001670EC" w:rsidP="00C6186A">
            <w:pPr>
              <w:spacing w:after="0" w:line="240" w:lineRule="auto"/>
              <w:jc w:val="center"/>
              <w:rPr>
                <w:b/>
                <w:sz w:val="24"/>
                <w:szCs w:val="24"/>
              </w:rPr>
            </w:pPr>
          </w:p>
        </w:tc>
        <w:tc>
          <w:tcPr>
            <w:tcW w:w="990" w:type="dxa"/>
          </w:tcPr>
          <w:p w:rsidR="001670EC" w:rsidRPr="00C6186A" w:rsidRDefault="001670EC" w:rsidP="00C6186A">
            <w:pPr>
              <w:spacing w:after="0" w:line="240" w:lineRule="auto"/>
              <w:jc w:val="center"/>
              <w:rPr>
                <w:b/>
                <w:sz w:val="24"/>
                <w:szCs w:val="24"/>
              </w:rPr>
            </w:pPr>
          </w:p>
        </w:tc>
        <w:tc>
          <w:tcPr>
            <w:tcW w:w="900" w:type="dxa"/>
          </w:tcPr>
          <w:p w:rsidR="001670EC" w:rsidRPr="00C6186A" w:rsidRDefault="001670EC" w:rsidP="00C6186A">
            <w:pPr>
              <w:spacing w:after="0" w:line="240" w:lineRule="auto"/>
              <w:jc w:val="center"/>
              <w:rPr>
                <w:b/>
                <w:sz w:val="24"/>
                <w:szCs w:val="24"/>
              </w:rPr>
            </w:pPr>
          </w:p>
        </w:tc>
        <w:tc>
          <w:tcPr>
            <w:tcW w:w="828" w:type="dxa"/>
          </w:tcPr>
          <w:p w:rsidR="001670EC" w:rsidRPr="00C6186A" w:rsidRDefault="001670EC" w:rsidP="00C6186A">
            <w:pPr>
              <w:spacing w:after="0" w:line="240" w:lineRule="auto"/>
              <w:jc w:val="center"/>
              <w:rPr>
                <w:b/>
                <w:sz w:val="24"/>
                <w:szCs w:val="24"/>
              </w:rPr>
            </w:pPr>
            <w:r w:rsidRPr="00C6186A">
              <w:rPr>
                <w:b/>
                <w:sz w:val="24"/>
                <w:szCs w:val="24"/>
              </w:rPr>
              <w:t>x</w:t>
            </w:r>
          </w:p>
        </w:tc>
      </w:tr>
    </w:tbl>
    <w:p w:rsidR="001670EC" w:rsidRPr="001164E7" w:rsidRDefault="001670EC" w:rsidP="001164E7"/>
    <w:p w:rsidR="001670EC" w:rsidRPr="005E2A7B" w:rsidRDefault="001670EC" w:rsidP="00C67055">
      <w:pPr>
        <w:rPr>
          <w:b/>
          <w:sz w:val="28"/>
          <w:szCs w:val="28"/>
        </w:rPr>
      </w:pPr>
      <w:r w:rsidRPr="005E2A7B">
        <w:rPr>
          <w:b/>
          <w:sz w:val="28"/>
          <w:szCs w:val="28"/>
        </w:rPr>
        <w:t>ARHN Survey Response List</w:t>
      </w:r>
    </w:p>
    <w:tbl>
      <w:tblPr>
        <w:tblW w:w="10340" w:type="dxa"/>
        <w:tblInd w:w="93" w:type="dxa"/>
        <w:tblLook w:val="00A0"/>
      </w:tblPr>
      <w:tblGrid>
        <w:gridCol w:w="2440"/>
        <w:gridCol w:w="7900"/>
      </w:tblGrid>
      <w:tr w:rsidR="001670EC" w:rsidRPr="00680D98" w:rsidTr="00781533">
        <w:trPr>
          <w:trHeight w:val="255"/>
          <w:tblHeader/>
        </w:trPr>
        <w:tc>
          <w:tcPr>
            <w:tcW w:w="2440" w:type="dxa"/>
            <w:tcBorders>
              <w:top w:val="single" w:sz="4" w:space="0" w:color="auto"/>
              <w:left w:val="single" w:sz="4" w:space="0" w:color="auto"/>
              <w:bottom w:val="single" w:sz="4" w:space="0" w:color="auto"/>
              <w:right w:val="single" w:sz="4" w:space="0" w:color="auto"/>
            </w:tcBorders>
            <w:noWrap/>
            <w:vAlign w:val="bottom"/>
          </w:tcPr>
          <w:p w:rsidR="001670EC" w:rsidRPr="00781533" w:rsidRDefault="001670EC" w:rsidP="003A4A5C">
            <w:pPr>
              <w:spacing w:after="0" w:line="240" w:lineRule="auto"/>
              <w:rPr>
                <w:rFonts w:ascii="Microsoft Sans Serif" w:hAnsi="Microsoft Sans Serif" w:cs="Microsoft Sans Serif"/>
                <w:b/>
                <w:bCs/>
                <w:sz w:val="20"/>
                <w:szCs w:val="20"/>
              </w:rPr>
            </w:pPr>
            <w:r w:rsidRPr="00781533">
              <w:rPr>
                <w:rFonts w:ascii="Microsoft Sans Serif" w:hAnsi="Microsoft Sans Serif" w:cs="Microsoft Sans Serif"/>
                <w:b/>
                <w:bCs/>
                <w:sz w:val="20"/>
                <w:szCs w:val="20"/>
              </w:rPr>
              <w:t>Name</w:t>
            </w:r>
          </w:p>
        </w:tc>
        <w:tc>
          <w:tcPr>
            <w:tcW w:w="7900" w:type="dxa"/>
            <w:tcBorders>
              <w:top w:val="single" w:sz="4" w:space="0" w:color="auto"/>
              <w:left w:val="nil"/>
              <w:bottom w:val="single" w:sz="4" w:space="0" w:color="auto"/>
              <w:right w:val="single" w:sz="4" w:space="0" w:color="auto"/>
            </w:tcBorders>
            <w:noWrap/>
            <w:vAlign w:val="bottom"/>
          </w:tcPr>
          <w:p w:rsidR="001670EC" w:rsidRPr="00781533" w:rsidRDefault="001670EC" w:rsidP="003A4A5C">
            <w:pPr>
              <w:spacing w:after="0" w:line="240" w:lineRule="auto"/>
              <w:rPr>
                <w:rFonts w:ascii="Microsoft Sans Serif" w:hAnsi="Microsoft Sans Serif" w:cs="Microsoft Sans Serif"/>
                <w:b/>
                <w:bCs/>
                <w:sz w:val="20"/>
                <w:szCs w:val="20"/>
              </w:rPr>
            </w:pPr>
            <w:r w:rsidRPr="00781533">
              <w:rPr>
                <w:rFonts w:ascii="Microsoft Sans Serif" w:hAnsi="Microsoft Sans Serif" w:cs="Microsoft Sans Serif"/>
                <w:b/>
                <w:bCs/>
                <w:sz w:val="20"/>
                <w:szCs w:val="20"/>
              </w:rPr>
              <w:t>Organization's Name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William Holmes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Inter-Lakes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GINNY CUTTAIA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S</w:t>
            </w:r>
            <w:r w:rsidRPr="00781533">
              <w:rPr>
                <w:rFonts w:ascii="Microsoft Sans Serif" w:hAnsi="Microsoft Sans Serif" w:cs="Microsoft Sans Serif"/>
                <w:sz w:val="20"/>
                <w:szCs w:val="20"/>
              </w:rPr>
              <w:t xml:space="preserve">ylvia </w:t>
            </w:r>
            <w:r>
              <w:rPr>
                <w:rFonts w:ascii="Microsoft Sans Serif" w:hAnsi="Microsoft Sans Serif" w:cs="Microsoft Sans Serif"/>
                <w:sz w:val="20"/>
                <w:szCs w:val="20"/>
              </w:rPr>
              <w:t>K</w:t>
            </w:r>
            <w:r w:rsidRPr="00781533">
              <w:rPr>
                <w:rFonts w:ascii="Microsoft Sans Serif" w:hAnsi="Microsoft Sans Serif" w:cs="Microsoft Sans Serif"/>
                <w:sz w:val="20"/>
                <w:szCs w:val="20"/>
              </w:rPr>
              <w:t xml:space="preserve">ing </w:t>
            </w:r>
            <w:r>
              <w:rPr>
                <w:rFonts w:ascii="Microsoft Sans Serif" w:hAnsi="Microsoft Sans Serif" w:cs="Microsoft Sans Serif"/>
                <w:sz w:val="20"/>
                <w:szCs w:val="20"/>
              </w:rPr>
              <w:t>B</w:t>
            </w:r>
            <w:r w:rsidRPr="00781533">
              <w:rPr>
                <w:rFonts w:ascii="Microsoft Sans Serif" w:hAnsi="Microsoft Sans Serif" w:cs="Microsoft Sans Serif"/>
                <w:sz w:val="20"/>
                <w:szCs w:val="20"/>
              </w:rPr>
              <w:t>iondo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Planned Parenthood of the North Country New York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Gregory Freeman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CVPH Medical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Stella M Zanella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Fulmont Community Action Agency,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Jessica Lowry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CVPH Medical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1A73CA">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K</w:t>
            </w:r>
            <w:r w:rsidRPr="00781533">
              <w:rPr>
                <w:rFonts w:ascii="Microsoft Sans Serif" w:hAnsi="Microsoft Sans Serif" w:cs="Microsoft Sans Serif"/>
                <w:sz w:val="20"/>
                <w:szCs w:val="20"/>
              </w:rPr>
              <w:t xml:space="preserve">elly </w:t>
            </w:r>
            <w:r>
              <w:rPr>
                <w:rFonts w:ascii="Microsoft Sans Serif" w:hAnsi="Microsoft Sans Serif" w:cs="Microsoft Sans Serif"/>
                <w:sz w:val="20"/>
                <w:szCs w:val="20"/>
              </w:rPr>
              <w:t>H</w:t>
            </w:r>
            <w:r w:rsidRPr="00781533">
              <w:rPr>
                <w:rFonts w:ascii="Microsoft Sans Serif" w:hAnsi="Microsoft Sans Serif" w:cs="Microsoft Sans Serif"/>
                <w:sz w:val="20"/>
                <w:szCs w:val="20"/>
              </w:rPr>
              <w:t>artz</w:t>
            </w:r>
          </w:p>
        </w:tc>
        <w:tc>
          <w:tcPr>
            <w:tcW w:w="7900" w:type="dxa"/>
            <w:tcBorders>
              <w:top w:val="nil"/>
              <w:left w:val="nil"/>
              <w:bottom w:val="single" w:sz="4" w:space="0" w:color="auto"/>
              <w:right w:val="single" w:sz="4" w:space="0" w:color="auto"/>
            </w:tcBorders>
            <w:noWrap/>
            <w:vAlign w:val="bottom"/>
          </w:tcPr>
          <w:p w:rsidR="001670EC" w:rsidRPr="00781533" w:rsidRDefault="001670EC" w:rsidP="001A73CA">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N</w:t>
            </w:r>
            <w:r w:rsidRPr="00781533">
              <w:rPr>
                <w:rFonts w:ascii="Microsoft Sans Serif" w:hAnsi="Microsoft Sans Serif" w:cs="Microsoft Sans Serif"/>
                <w:sz w:val="20"/>
                <w:szCs w:val="20"/>
              </w:rPr>
              <w:t xml:space="preserve">athan </w:t>
            </w:r>
            <w:r>
              <w:rPr>
                <w:rFonts w:ascii="Microsoft Sans Serif" w:hAnsi="Microsoft Sans Serif" w:cs="Microsoft Sans Serif"/>
                <w:sz w:val="20"/>
                <w:szCs w:val="20"/>
              </w:rPr>
              <w:t>L</w:t>
            </w:r>
            <w:r w:rsidRPr="00781533">
              <w:rPr>
                <w:rFonts w:ascii="Microsoft Sans Serif" w:hAnsi="Microsoft Sans Serif" w:cs="Microsoft Sans Serif"/>
                <w:sz w:val="20"/>
                <w:szCs w:val="20"/>
              </w:rPr>
              <w:t>ittauer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Mary Lee Ryan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Health Dept. WIC Program</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Bryan Amell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Joseph's Addiction Treatment and Recovery Centers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Carol M. Greco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Mary's Healthcare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Steven Serge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YMCA</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Duane Miller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Mary's Healthcare- Behavioral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Victor Giulianelli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Mary's Healthcare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Daniel Towne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Gloversville Housing Authority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Richard Flanger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YMCA Residency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Michael L. Countryman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The Family Counseling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Julie Paquin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Public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Irene Snyder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Harrietstown Housing Authority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Patrice McMahon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Patricia McGillicuddy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Kelly Landrio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FultonCountyYMCA</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Margaret Luck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 Lifeline Program</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Laura O'Mara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Hospital Nursing Home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Lynn Hart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Saranac Lake Middle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Julie Demaree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Michelle Schumacher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YMCA</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Deborah J. Ruggeri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Greater Johnstown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John M. Kanoza, PE, CPG</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Health Department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Tammy J Smith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Inter-Lakes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Schrader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Association  of Senior Citizens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Rick LeVitre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Cheryl</w:t>
            </w:r>
          </w:p>
        </w:tc>
        <w:tc>
          <w:tcPr>
            <w:tcW w:w="7900" w:type="dxa"/>
            <w:tcBorders>
              <w:top w:val="nil"/>
              <w:left w:val="nil"/>
              <w:bottom w:val="single" w:sz="4" w:space="0" w:color="auto"/>
              <w:right w:val="single" w:sz="4" w:space="0" w:color="auto"/>
            </w:tcBorders>
            <w:noWrap/>
            <w:vAlign w:val="bottom"/>
          </w:tcPr>
          <w:p w:rsidR="001670EC" w:rsidRPr="00781533" w:rsidRDefault="003D1A5F"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92" type="#_x0000_t202" style="position:absolute;margin-left:95.75pt;margin-top:32.75pt;width:35.75pt;height:25.7pt;z-index:251665408;mso-position-horizontal-relative:text;mso-position-vertical-relative:text">
                  <v:textbox>
                    <w:txbxContent>
                      <w:p w:rsidR="00CF7937" w:rsidRDefault="00CF7937" w:rsidP="00CF7937">
                        <w:r>
                          <w:t>XIII</w:t>
                        </w:r>
                      </w:p>
                    </w:txbxContent>
                  </v:textbox>
                </v:shape>
              </w:pict>
            </w:r>
            <w:r w:rsidR="001670EC" w:rsidRPr="00781533">
              <w:rPr>
                <w:rFonts w:ascii="Microsoft Sans Serif" w:hAnsi="Microsoft Sans Serif" w:cs="Microsoft Sans Serif"/>
                <w:sz w:val="20"/>
                <w:szCs w:val="20"/>
              </w:rPr>
              <w:t>Nathan Littauer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Barry Brogan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Behavioral Healthcare Network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Maryann Barto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Department of Health, Healthy Neighborhoods Program</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Sharon Reynolds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PRIDE of Ticonderoga,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Jerie Reid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Deborah Byrd-Caudle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Parent to Parent of NYS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Julie Marshall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Alice Hyde Medical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Hans Lehr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County Community Services Board / Mental Health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Karen Levison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SCPHNS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Lesley B. Lyon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Dept of Social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Christina Akey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Mary Rickard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County Office for the Aging</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Chattie Van Wert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Ticonderoga Revitalization Alliance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Maryalice Smith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Saranac Lake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Anne Mason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Whitehall Family Medicine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Leisa Dwyer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Malone Central Schools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Penny Ruhm</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Adirondack Rural Health Network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Dale Woods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Jackie Skiff</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Joint Council for Economic Opportunity of Clinton and Franklin Counties,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Krista Berger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WIC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Margaret Cantwell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Public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Julie Tromblee, RN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Elizabethtown Community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Mildred Ferriter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Community Health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Melinda Drake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Joseph's Addiction Treatment &amp; Recovery Centers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Michael Vanyo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Gloversville Enlarged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W</w:t>
            </w:r>
            <w:r w:rsidRPr="00781533">
              <w:rPr>
                <w:rFonts w:ascii="Microsoft Sans Serif" w:hAnsi="Microsoft Sans Serif" w:cs="Microsoft Sans Serif"/>
                <w:sz w:val="20"/>
                <w:szCs w:val="20"/>
              </w:rPr>
              <w:t xml:space="preserve">illiam </w:t>
            </w:r>
            <w:r>
              <w:rPr>
                <w:rFonts w:ascii="Microsoft Sans Serif" w:hAnsi="Microsoft Sans Serif" w:cs="Microsoft Sans Serif"/>
                <w:sz w:val="20"/>
                <w:szCs w:val="20"/>
              </w:rPr>
              <w:t>V</w:t>
            </w:r>
            <w:r w:rsidRPr="00781533">
              <w:rPr>
                <w:rFonts w:ascii="Microsoft Sans Serif" w:hAnsi="Microsoft Sans Serif" w:cs="Microsoft Sans Serif"/>
                <w:sz w:val="20"/>
                <w:szCs w:val="20"/>
              </w:rPr>
              <w:t>iscardo</w:t>
            </w:r>
          </w:p>
        </w:tc>
        <w:tc>
          <w:tcPr>
            <w:tcW w:w="7900" w:type="dxa"/>
            <w:tcBorders>
              <w:top w:val="nil"/>
              <w:left w:val="nil"/>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A</w:t>
            </w:r>
            <w:r w:rsidRPr="00781533">
              <w:rPr>
                <w:rFonts w:ascii="Microsoft Sans Serif" w:hAnsi="Microsoft Sans Serif" w:cs="Microsoft Sans Serif"/>
                <w:sz w:val="20"/>
                <w:szCs w:val="20"/>
              </w:rPr>
              <w:t xml:space="preserve">dirondack </w:t>
            </w:r>
            <w:r>
              <w:rPr>
                <w:rFonts w:ascii="Microsoft Sans Serif" w:hAnsi="Microsoft Sans Serif" w:cs="Microsoft Sans Serif"/>
                <w:sz w:val="20"/>
                <w:szCs w:val="20"/>
              </w:rPr>
              <w:t>H</w:t>
            </w:r>
            <w:r w:rsidRPr="00781533">
              <w:rPr>
                <w:rFonts w:ascii="Microsoft Sans Serif" w:hAnsi="Microsoft Sans Serif" w:cs="Microsoft Sans Serif"/>
                <w:sz w:val="20"/>
                <w:szCs w:val="20"/>
              </w:rPr>
              <w:t>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Kate Fowler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SMSA</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Joe Keegan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Community College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Megan Johnson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Warren-Washington Office of Community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John Aufdengarten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Alice Hyde Medical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Sue Malinowski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CAPTAIN Youth and Family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Misty Trim</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Brushton-Moira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S</w:t>
            </w:r>
            <w:r w:rsidRPr="00781533">
              <w:rPr>
                <w:rFonts w:ascii="Microsoft Sans Serif" w:hAnsi="Microsoft Sans Serif" w:cs="Microsoft Sans Serif"/>
                <w:sz w:val="20"/>
                <w:szCs w:val="20"/>
              </w:rPr>
              <w:t xml:space="preserve">arah </w:t>
            </w:r>
            <w:r>
              <w:rPr>
                <w:rFonts w:ascii="Microsoft Sans Serif" w:hAnsi="Microsoft Sans Serif" w:cs="Microsoft Sans Serif"/>
                <w:sz w:val="20"/>
                <w:szCs w:val="20"/>
              </w:rPr>
              <w:t>L</w:t>
            </w:r>
            <w:r w:rsidRPr="00781533">
              <w:rPr>
                <w:rFonts w:ascii="Microsoft Sans Serif" w:hAnsi="Microsoft Sans Serif" w:cs="Microsoft Sans Serif"/>
                <w:sz w:val="20"/>
                <w:szCs w:val="20"/>
              </w:rPr>
              <w:t>ouer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Mountain Lake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Dan</w:t>
            </w:r>
            <w:r>
              <w:rPr>
                <w:rFonts w:ascii="Microsoft Sans Serif" w:hAnsi="Microsoft Sans Serif" w:cs="Microsoft Sans Serif"/>
                <w:sz w:val="20"/>
                <w:szCs w:val="20"/>
              </w:rPr>
              <w:t xml:space="preserve"> </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A</w:t>
            </w:r>
            <w:r w:rsidRPr="00781533">
              <w:rPr>
                <w:rFonts w:ascii="Microsoft Sans Serif" w:hAnsi="Microsoft Sans Serif" w:cs="Microsoft Sans Serif"/>
                <w:sz w:val="20"/>
                <w:szCs w:val="20"/>
              </w:rPr>
              <w:t xml:space="preserve">manda </w:t>
            </w:r>
            <w:r>
              <w:rPr>
                <w:rFonts w:ascii="Microsoft Sans Serif" w:hAnsi="Microsoft Sans Serif" w:cs="Microsoft Sans Serif"/>
                <w:sz w:val="20"/>
                <w:szCs w:val="20"/>
              </w:rPr>
              <w:t>W</w:t>
            </w:r>
            <w:r w:rsidRPr="00781533">
              <w:rPr>
                <w:rFonts w:ascii="Microsoft Sans Serif" w:hAnsi="Microsoft Sans Serif" w:cs="Microsoft Sans Serif"/>
                <w:sz w:val="20"/>
                <w:szCs w:val="20"/>
              </w:rPr>
              <w:t>est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council for prevention of alcohol and substance abuse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Christie Sabo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Warren-Hamilton Counties Office for the Aging</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Debra Pauquette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Granville Family Health/ 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Cynthia Ford-Johnston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Keene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Jennifer McDonald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Skidmore College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Vicky Wheaton-Saraceni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Adirondack Rural Health Network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Chrys Nestle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William Larrow</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Moriah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Lisa Griffin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DSS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Valerie Capone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Warren-Washington ARC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Denis  Wilson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Fulmont Community Action Agency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Donna Beal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Mercy Care for the Adirondacks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Doug DiVello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Alice Hyde Medical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Judy Zyniecki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center for Disability Services/CloverPatch early intervention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Cathlyn Lamitie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Alice Hyde Medical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Joan Draus</w:t>
            </w:r>
          </w:p>
        </w:tc>
        <w:tc>
          <w:tcPr>
            <w:tcW w:w="7900" w:type="dxa"/>
            <w:tcBorders>
              <w:top w:val="nil"/>
              <w:left w:val="nil"/>
              <w:bottom w:val="single" w:sz="4" w:space="0" w:color="auto"/>
              <w:right w:val="single" w:sz="4" w:space="0" w:color="auto"/>
            </w:tcBorders>
            <w:noWrap/>
            <w:vAlign w:val="bottom"/>
          </w:tcPr>
          <w:p w:rsidR="001670EC" w:rsidRPr="00781533" w:rsidRDefault="003D1A5F"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93" type="#_x0000_t202" style="position:absolute;margin-left:94.9pt;margin-top:26.2pt;width:32.3pt;height:25.7pt;z-index:251666432;mso-position-horizontal-relative:text;mso-position-vertical-relative:text">
                  <v:textbox>
                    <w:txbxContent>
                      <w:p w:rsidR="00CF7937" w:rsidRDefault="00CF7937" w:rsidP="00CF7937">
                        <w:r>
                          <w:t>XIV</w:t>
                        </w:r>
                      </w:p>
                    </w:txbxContent>
                  </v:textbox>
                </v:shape>
              </w:pict>
            </w:r>
            <w:r w:rsidR="001670EC" w:rsidRPr="00781533">
              <w:rPr>
                <w:rFonts w:ascii="Microsoft Sans Serif" w:hAnsi="Microsoft Sans Serif" w:cs="Microsoft Sans Serif"/>
                <w:sz w:val="20"/>
                <w:szCs w:val="20"/>
              </w:rPr>
              <w:t>Mental Health Association In Fulton &amp;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Kelli Lyndaker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Jane Hooper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Elizabethtown Community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Sandra Geier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Gloversville enlarged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Janet L. Duprey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NYS Assembly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Miki L. Hopper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Acap, Inc. EHS/HS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Tammy Kemp</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Senior Citizens Council of Clinton County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Scott Osborne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Elizabethtown-Lewis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Amanda Hewitt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senior citizen service center of Gloversville and Fulton county,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TJ Feiden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Minerva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Kim Crockett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Youth Bureau</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Trip Shannon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Hudson Headwaters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Brandy Richards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Hamilton County Community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Robin Nelson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Families First in Essex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Deborah Ameden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Hamilton County Community Action Agency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B</w:t>
            </w:r>
            <w:r w:rsidRPr="00781533">
              <w:rPr>
                <w:rFonts w:ascii="Microsoft Sans Serif" w:hAnsi="Microsoft Sans Serif" w:cs="Microsoft Sans Serif"/>
                <w:sz w:val="20"/>
                <w:szCs w:val="20"/>
              </w:rPr>
              <w:t>etsy brown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ppncny -planned parenthood</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Theresa Intilli Klausner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Penny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HCPHNS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Nancy Welch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 Hamilton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Cathy Valenty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County EOC - WIC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Norma Menard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Literacy Volunteers of Clinton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Michael Piccirillo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Springs City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Peter Whitten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Shelters of Saratoga,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Keith R. Matott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The Development Corporation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Melissa Engwer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Washington Hamilton County Cancer Services Program at 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Theresa Cole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Akwesasne Housing Authority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Janine Dykeman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Mental Health Association in Fulton and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Margot Gold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Healthy Heart Network,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Cynthia Summo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Keene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Pam Merrick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Malone middle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Jamie Basiliere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Child Care Coordinating Council of the North Country,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Michele Armani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Workforce Investment Board</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Lia Mcfarline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Inter-Lakes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Sue Cridland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 - HealthLink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Cathleen Kerman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Brian Bearor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Family YMCA of the Glens Falls Area</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Linda Scagel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Community Health Center of the North Country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Priscilla Wheeler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Megan Murphy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Adirondack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Sue Frasier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Mountain Valley Hospice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Deborah Skivington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The Family Counseling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Sue Ann Caron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Department of Social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Leslie Beadle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 Nursing Home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Jean Wiseman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Capital District Child Care Council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Patterson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K</w:t>
            </w:r>
            <w:r w:rsidRPr="00781533">
              <w:rPr>
                <w:rFonts w:ascii="Microsoft Sans Serif" w:hAnsi="Microsoft Sans Serif" w:cs="Microsoft Sans Serif"/>
                <w:sz w:val="20"/>
                <w:szCs w:val="20"/>
              </w:rPr>
              <w:t xml:space="preserve">athy </w:t>
            </w:r>
            <w:r>
              <w:rPr>
                <w:rFonts w:ascii="Microsoft Sans Serif" w:hAnsi="Microsoft Sans Serif" w:cs="Microsoft Sans Serif"/>
                <w:sz w:val="20"/>
                <w:szCs w:val="20"/>
              </w:rPr>
              <w:t>V</w:t>
            </w:r>
            <w:r w:rsidRPr="00781533">
              <w:rPr>
                <w:rFonts w:ascii="Microsoft Sans Serif" w:hAnsi="Microsoft Sans Serif" w:cs="Microsoft Sans Serif"/>
                <w:sz w:val="20"/>
                <w:szCs w:val="20"/>
              </w:rPr>
              <w:t>arney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 chp2lwp</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Kelly Owens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HM AHEC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Crystal Carter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Office for the Aging</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Stephanie Seymour</w:t>
            </w:r>
          </w:p>
        </w:tc>
        <w:tc>
          <w:tcPr>
            <w:tcW w:w="7900" w:type="dxa"/>
            <w:tcBorders>
              <w:top w:val="nil"/>
              <w:left w:val="nil"/>
              <w:bottom w:val="single" w:sz="4" w:space="0" w:color="auto"/>
              <w:right w:val="single" w:sz="4" w:space="0" w:color="auto"/>
            </w:tcBorders>
            <w:noWrap/>
            <w:vAlign w:val="bottom"/>
          </w:tcPr>
          <w:p w:rsidR="001670EC" w:rsidRPr="00781533" w:rsidRDefault="003D1A5F"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94" type="#_x0000_t202" style="position:absolute;margin-left:98.2pt;margin-top:26.15pt;width:27.4pt;height:25.7pt;z-index:251667456;mso-position-horizontal-relative:text;mso-position-vertical-relative:text">
                  <v:textbox>
                    <w:txbxContent>
                      <w:p w:rsidR="00CF7937" w:rsidRDefault="00CF7937" w:rsidP="00CF7937">
                        <w:r>
                          <w:t>XV</w:t>
                        </w:r>
                      </w:p>
                    </w:txbxContent>
                  </v:textbox>
                </v:shape>
              </w:pict>
            </w:r>
            <w:r w:rsidR="001670EC" w:rsidRPr="00781533">
              <w:rPr>
                <w:rFonts w:ascii="Microsoft Sans Serif" w:hAnsi="Microsoft Sans Serif" w:cs="Microsoft Sans Serif"/>
                <w:sz w:val="20"/>
                <w:szCs w:val="20"/>
              </w:rPr>
              <w:t>Saratoga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Jamie Konkoski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Healthy Heart Network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Patty Hunt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Public Health Nursing Service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Bonnie Sue Newell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Mental Health Association of Clinton and Franklin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Beth Lawyer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Citizen Advocates, Inc., North Star Behavioral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Suzanne M. Goolden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Roseann Doran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 in Fulton &amp; Montg. Co.</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K</w:t>
            </w:r>
            <w:r w:rsidRPr="00781533">
              <w:rPr>
                <w:rFonts w:ascii="Microsoft Sans Serif" w:hAnsi="Microsoft Sans Serif" w:cs="Microsoft Sans Serif"/>
                <w:sz w:val="20"/>
                <w:szCs w:val="20"/>
              </w:rPr>
              <w:t xml:space="preserve">atie </w:t>
            </w:r>
            <w:r>
              <w:rPr>
                <w:rFonts w:ascii="Microsoft Sans Serif" w:hAnsi="Microsoft Sans Serif" w:cs="Microsoft Sans Serif"/>
                <w:sz w:val="20"/>
                <w:szCs w:val="20"/>
              </w:rPr>
              <w:t>S</w:t>
            </w:r>
            <w:r w:rsidRPr="00781533">
              <w:rPr>
                <w:rFonts w:ascii="Microsoft Sans Serif" w:hAnsi="Microsoft Sans Serif" w:cs="Microsoft Sans Serif"/>
                <w:sz w:val="20"/>
                <w:szCs w:val="20"/>
              </w:rPr>
              <w:t>track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Public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Ginelle Jones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Ann Rhodes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HFM Prevention Council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Patricia Gero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Adirondack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Ms</w:t>
            </w:r>
            <w:r>
              <w:rPr>
                <w:rFonts w:ascii="Microsoft Sans Serif" w:hAnsi="Microsoft Sans Serif" w:cs="Microsoft Sans Serif"/>
                <w:sz w:val="20"/>
                <w:szCs w:val="20"/>
              </w:rPr>
              <w:t>.</w:t>
            </w:r>
            <w:r w:rsidRPr="00781533">
              <w:rPr>
                <w:rFonts w:ascii="Microsoft Sans Serif" w:hAnsi="Microsoft Sans Serif" w:cs="Microsoft Sans Serif"/>
                <w:sz w:val="20"/>
                <w:szCs w:val="20"/>
              </w:rPr>
              <w:t xml:space="preserve"> Chandler M. Ralph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Adirondack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Kim McElwain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Saint Regis Mohawk Tribe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Gerald Goldman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Saranac Lake CSD</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Elizabeth Zicari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HCR Home Care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Bonnie Yopp ANP</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Community Link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Stacey Beebie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MH and AS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Vicki Driscoll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Health Department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w:t>
            </w:r>
            <w:r>
              <w:rPr>
                <w:rFonts w:ascii="Microsoft Sans Serif" w:hAnsi="Microsoft Sans Serif" w:cs="Microsoft Sans Serif"/>
                <w:sz w:val="20"/>
                <w:szCs w:val="20"/>
              </w:rPr>
              <w:t>.</w:t>
            </w:r>
            <w:r w:rsidRPr="00781533">
              <w:rPr>
                <w:rFonts w:ascii="Microsoft Sans Serif" w:hAnsi="Microsoft Sans Serif" w:cs="Microsoft Sans Serif"/>
                <w:sz w:val="20"/>
                <w:szCs w:val="20"/>
              </w:rPr>
              <w:t xml:space="preserve"> Jameson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HM AHEC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Beth Ryan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Hamilton County Public Health Nursing Service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Rebecca Carman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Shenendehowa central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Lisa Harrington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Wait House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Genevieve Boyd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Long Lake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Tracy Mills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Robert York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Office of Community Services for Warren and Washington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Shelley Shutler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Mental Health Assoc. of Clinton &amp; Franklin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Dot Jones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Maria Burke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Literacy Volunteers of Essex/Franklin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Gina Cantanucci-Mitchell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ADRC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Ernest J. Gagnon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Mental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 Cooper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Department of Social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P</w:t>
            </w:r>
            <w:r w:rsidRPr="00781533">
              <w:rPr>
                <w:rFonts w:ascii="Microsoft Sans Serif" w:hAnsi="Microsoft Sans Serif" w:cs="Microsoft Sans Serif"/>
                <w:sz w:val="20"/>
                <w:szCs w:val="20"/>
              </w:rPr>
              <w:t xml:space="preserve">am </w:t>
            </w:r>
            <w:r>
              <w:rPr>
                <w:rFonts w:ascii="Microsoft Sans Serif" w:hAnsi="Microsoft Sans Serif" w:cs="Microsoft Sans Serif"/>
                <w:sz w:val="20"/>
                <w:szCs w:val="20"/>
              </w:rPr>
              <w:t>D</w:t>
            </w:r>
            <w:r w:rsidRPr="00781533">
              <w:rPr>
                <w:rFonts w:ascii="Microsoft Sans Serif" w:hAnsi="Microsoft Sans Serif" w:cs="Microsoft Sans Serif"/>
                <w:sz w:val="20"/>
                <w:szCs w:val="20"/>
              </w:rPr>
              <w:t>ray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County EOC Head Start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Patricia Auer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Laurence Kelly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Dufel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NYS Department of Labor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Sharon Schaldone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Kristen Sayers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NYSDOH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Tari Botto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Department of Social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Carol Underwood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Center for Lung and Chest Surgery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Sheri Sauve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Plattsburgh OneWorksource/NYSDOL Manager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M. Wilson-Sott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Office for the Aging in Franklin Co.</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Laurie Williams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Health Department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Jessica Darney Buehler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Sharon Luckenbaugh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Peter Groff</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Washington Association for Mental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James Seeley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Josh Wilson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Healthy Heart Network,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Rachel Truckenmiller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ASAPP's Promise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Diane Whitten</w:t>
            </w:r>
          </w:p>
        </w:tc>
        <w:tc>
          <w:tcPr>
            <w:tcW w:w="7900" w:type="dxa"/>
            <w:tcBorders>
              <w:top w:val="nil"/>
              <w:left w:val="nil"/>
              <w:bottom w:val="single" w:sz="4" w:space="0" w:color="auto"/>
              <w:right w:val="single" w:sz="4" w:space="0" w:color="auto"/>
            </w:tcBorders>
            <w:noWrap/>
            <w:vAlign w:val="bottom"/>
          </w:tcPr>
          <w:p w:rsidR="001670EC" w:rsidRPr="00781533" w:rsidRDefault="003D1A5F"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95" type="#_x0000_t202" style="position:absolute;margin-left:99pt;margin-top:28.25pt;width:33.6pt;height:25.7pt;z-index:251668480;mso-position-horizontal-relative:text;mso-position-vertical-relative:text">
                  <v:textbox>
                    <w:txbxContent>
                      <w:p w:rsidR="00CF7937" w:rsidRDefault="00CF7937" w:rsidP="00CF7937">
                        <w:r>
                          <w:t>XVI</w:t>
                        </w:r>
                      </w:p>
                    </w:txbxContent>
                  </v:textbox>
                </v:shape>
              </w:pict>
            </w:r>
            <w:r w:rsidR="001670EC" w:rsidRPr="00781533">
              <w:rPr>
                <w:rFonts w:ascii="Microsoft Sans Serif" w:hAnsi="Microsoft Sans Serif" w:cs="Microsoft Sans Serif"/>
                <w:sz w:val="20"/>
                <w:szCs w:val="20"/>
              </w:rPr>
              <w:t>Cornell Cooperative Extension Saratoga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Justin Hladik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Reality Check of Hamilton, Fulton, and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Steve Peters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City of Plattsburgh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Sheila Kapper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Elizabethtown-Lewis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Greg Truckenmiller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Fulton-Montgomery Community College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Stuart G. Baker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Town of Queensbury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Sarah Kraemer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Catholic Charities of Fulton &amp;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John Nasso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Catholic Charities of Fulton and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 Daniel Jacobs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Regis Mohawk Health Services A/CDP Outpatient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Darlene Spinner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Literacy Volunteers of Essex/Franklin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Pam LeFebvre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Health Department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Sarina Nicola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Public Health Nursing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Lythia Vera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Eastern Adirondack Health Care Network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Martin Nephew</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Mountain Lake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Barbara DeLuca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Cecily Dramm</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Saranac Lake High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Tracey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Planned Parenthood Mohawk Hudson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Patricia Godreau Sexton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Regis Falls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Deborah Roddy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The Adirondack Arc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John Sawyer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Hudson Headwaters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Nichole Louis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HCR Home Care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Stephen Pavone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Gloversville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Jackie Mulcahy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Queensbury union free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A</w:t>
            </w:r>
            <w:r w:rsidRPr="00781533">
              <w:rPr>
                <w:rFonts w:ascii="Microsoft Sans Serif" w:hAnsi="Microsoft Sans Serif" w:cs="Microsoft Sans Serif"/>
                <w:sz w:val="20"/>
                <w:szCs w:val="20"/>
              </w:rPr>
              <w:t xml:space="preserve">nita </w:t>
            </w:r>
            <w:r>
              <w:rPr>
                <w:rFonts w:ascii="Microsoft Sans Serif" w:hAnsi="Microsoft Sans Serif" w:cs="Microsoft Sans Serif"/>
                <w:sz w:val="20"/>
                <w:szCs w:val="20"/>
              </w:rPr>
              <w:t>D</w:t>
            </w:r>
            <w:r w:rsidRPr="00781533">
              <w:rPr>
                <w:rFonts w:ascii="Microsoft Sans Serif" w:hAnsi="Microsoft Sans Serif" w:cs="Microsoft Sans Serif"/>
                <w:sz w:val="20"/>
                <w:szCs w:val="20"/>
              </w:rPr>
              <w:t>eming</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 - Essex Couny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Frederick Goldberg, MD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David A Alloy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Annie McKinley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Mental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Bonnie Black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BHSN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Eric Day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Office of Emergency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Douglas Huntley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Queesnbury Union Free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Rebecca Evansky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STARS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James Dexter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Washington-Saratoga-Warren-Hamilton-Essex BOCES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Steven Bowman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Veterans Service Agency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Kelley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STOP Domestic Violence/BHSN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Marjorie Irwin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WIC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Robert E. Shay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Town of White Creek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Vanetta Conn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Cornell Cooperative Extension Franklin County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Patty Bashaw</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Office for the Aging</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Cheryl L. Brown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Oppenheim-Ephratah Central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Wes Carr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County Youth Bureau</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Marjorie  Tierney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Ticonderoga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Barbara Sweet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Tri County United Way</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Kari Cushing</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Community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Paul Berry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Hadley-Luzerne CSD</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Brian Post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Upward Bound</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Erin Krivitski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Lorraine Kourofsky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Chateaugay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Delehanty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Citizen Advocates,Inc.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Linda L. Beers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Dr Stan Maziejka</w:t>
            </w:r>
          </w:p>
        </w:tc>
        <w:tc>
          <w:tcPr>
            <w:tcW w:w="7900" w:type="dxa"/>
            <w:tcBorders>
              <w:top w:val="nil"/>
              <w:left w:val="nil"/>
              <w:bottom w:val="single" w:sz="4" w:space="0" w:color="auto"/>
              <w:right w:val="single" w:sz="4" w:space="0" w:color="auto"/>
            </w:tcBorders>
            <w:noWrap/>
            <w:vAlign w:val="bottom"/>
          </w:tcPr>
          <w:p w:rsidR="001670EC" w:rsidRPr="00781533" w:rsidRDefault="003D1A5F"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96" type="#_x0000_t202" style="position:absolute;margin-left:98.6pt;margin-top:23.65pt;width:37.45pt;height:25.7pt;z-index:251669504;mso-position-horizontal-relative:text;mso-position-vertical-relative:text">
                  <v:textbox>
                    <w:txbxContent>
                      <w:p w:rsidR="00CF7937" w:rsidRDefault="00CF7937" w:rsidP="00CF7937">
                        <w:r>
                          <w:t>XVII</w:t>
                        </w:r>
                      </w:p>
                    </w:txbxContent>
                  </v:textbox>
                </v:shape>
              </w:pict>
            </w:r>
            <w:r w:rsidR="001670EC" w:rsidRPr="00781533">
              <w:rPr>
                <w:rFonts w:ascii="Microsoft Sans Serif" w:hAnsi="Microsoft Sans Serif" w:cs="Microsoft Sans Serif"/>
                <w:sz w:val="20"/>
                <w:szCs w:val="20"/>
              </w:rPr>
              <w:t>Stillwater CSD</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Dawn Tucker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Fort Edward Internal Medicine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Margaret Sing Smith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Youth Bureau</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KEITH TYO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SUNY PLATTSBURGH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Antoinette P Roth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WIC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w:t>
            </w:r>
            <w:r>
              <w:rPr>
                <w:rFonts w:ascii="Microsoft Sans Serif" w:hAnsi="Microsoft Sans Serif" w:cs="Microsoft Sans Serif"/>
                <w:sz w:val="20"/>
                <w:szCs w:val="20"/>
              </w:rPr>
              <w:t>athie</w:t>
            </w:r>
            <w:r w:rsidRPr="00781533">
              <w:rPr>
                <w:rFonts w:ascii="Microsoft Sans Serif" w:hAnsi="Microsoft Sans Serif" w:cs="Microsoft Sans Serif"/>
                <w:sz w:val="20"/>
                <w:szCs w:val="20"/>
              </w:rPr>
              <w:t xml:space="preserve"> W</w:t>
            </w:r>
            <w:r>
              <w:rPr>
                <w:rFonts w:ascii="Microsoft Sans Serif" w:hAnsi="Microsoft Sans Serif" w:cs="Microsoft Sans Serif"/>
                <w:sz w:val="20"/>
                <w:szCs w:val="20"/>
              </w:rPr>
              <w:t>erly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FRANKLIN COUNTY PUBLIC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Dale Breault Jr.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Chateaugay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Linda Ferrara</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Adirondack Cardiology - A Service of 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Julie Wright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Lori Thompson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Regis Mohawk Health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Robert Kleppang</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Hamilton County Community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Cora Clark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Lake Placid Middle High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Amy Brender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HHHN-Ryan White Part C Program</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Donna DiPietro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Bolton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Chris Hunsinger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Warren County Employment &amp; Training</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Barbara Vickery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Capital District Child Care Coordinating Council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Paul Williamsen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Mayfield Central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Andrew Cruikshank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Fort Hudson Health System</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Sandra McNeil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Garry Douglas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North Country Chamber of Commerce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Steve Valley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Essex County Mental Health Svcs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Timothy Farrell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Minerva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Patrick Dee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Lake George Central Schools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Kimberly Mulverhill</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Malone Central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Elizabeth St John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Valerie Muratori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Saratoga bridges nysarc inc Saratoga chapter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Denise Benton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Catholic Charities of Fulton and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Melissa Chinigo</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Glens Falls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Vanessa Ross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CARES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Claire Murphy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Economic Opportunity Council,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Dustin Swanger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Fulton-Montgomery Community College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Janice Fitzgerald</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Parent to Parent of NYS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Cheryl A Murphy</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American Red Cross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5E2A7B">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A</w:t>
            </w:r>
            <w:r w:rsidRPr="00781533">
              <w:rPr>
                <w:rFonts w:ascii="Microsoft Sans Serif" w:hAnsi="Microsoft Sans Serif" w:cs="Microsoft Sans Serif"/>
                <w:sz w:val="20"/>
                <w:szCs w:val="20"/>
              </w:rPr>
              <w:t xml:space="preserve">ndrea </w:t>
            </w:r>
            <w:r>
              <w:rPr>
                <w:rFonts w:ascii="Microsoft Sans Serif" w:hAnsi="Microsoft Sans Serif" w:cs="Microsoft Sans Serif"/>
                <w:sz w:val="20"/>
                <w:szCs w:val="20"/>
              </w:rPr>
              <w:t>F</w:t>
            </w:r>
            <w:r w:rsidRPr="00781533">
              <w:rPr>
                <w:rFonts w:ascii="Microsoft Sans Serif" w:hAnsi="Microsoft Sans Serif" w:cs="Microsoft Sans Serif"/>
                <w:sz w:val="20"/>
                <w:szCs w:val="20"/>
              </w:rPr>
              <w:t>ettinger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 office for aging</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Donn Diefenbacher</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Mountain Valley Hospice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Jodi Gibbs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Inter-Lakes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Cynthia Trudeau</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Inter-Lakes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John Redden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Clinton County Social Services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Ellen Gordon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ACAP/OneWorkSource</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Michele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Malone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Heidi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NCHHN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Wayne C. Walbridge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Malone Central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Heidi Parisi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Nathan Littauer Hospital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Menke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Wells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Susan Sherman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Gloversville High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J</w:t>
            </w:r>
            <w:r w:rsidRPr="00781533">
              <w:rPr>
                <w:rFonts w:ascii="Microsoft Sans Serif" w:hAnsi="Microsoft Sans Serif" w:cs="Microsoft Sans Serif"/>
                <w:sz w:val="20"/>
                <w:szCs w:val="20"/>
              </w:rPr>
              <w:t>ane havens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community, work and independence inc.</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Stephanie LaPlant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St. Joseph's Community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MARY DICKERSON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LONG LAKE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Fred Wilson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Hudson Headwaters Health Network</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Richelle Beach</w:t>
            </w:r>
          </w:p>
        </w:tc>
        <w:tc>
          <w:tcPr>
            <w:tcW w:w="7900" w:type="dxa"/>
            <w:tcBorders>
              <w:top w:val="nil"/>
              <w:left w:val="nil"/>
              <w:bottom w:val="single" w:sz="4" w:space="0" w:color="auto"/>
              <w:right w:val="single" w:sz="4" w:space="0" w:color="auto"/>
            </w:tcBorders>
            <w:noWrap/>
            <w:vAlign w:val="bottom"/>
          </w:tcPr>
          <w:p w:rsidR="001670EC" w:rsidRPr="00781533" w:rsidRDefault="003D1A5F" w:rsidP="00781533">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97" type="#_x0000_t202" style="position:absolute;margin-left:96.45pt;margin-top:21.85pt;width:37.45pt;height:25.7pt;z-index:251670528;mso-position-horizontal-relative:text;mso-position-vertical-relative:text">
                  <v:textbox>
                    <w:txbxContent>
                      <w:p w:rsidR="00CF7937" w:rsidRDefault="00CF7937" w:rsidP="00CF7937">
                        <w:r>
                          <w:t>XVIII</w:t>
                        </w:r>
                      </w:p>
                    </w:txbxContent>
                  </v:textbox>
                </v:shape>
              </w:pict>
            </w:r>
            <w:r w:rsidR="001670EC" w:rsidRPr="00781533">
              <w:rPr>
                <w:rFonts w:ascii="Microsoft Sans Serif" w:hAnsi="Microsoft Sans Serif" w:cs="Microsoft Sans Serif"/>
                <w:sz w:val="20"/>
                <w:szCs w:val="20"/>
              </w:rPr>
              <w:t>Clinton County Child Advocacy Center</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Marie Capezzuti</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Washington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Scott Harding</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Church of the Messiah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Suzanne Hagadorn</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Cancer Services Program of Fulton &amp; Montgomery Counties</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Deborah Battiste</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Town of Kingsbury Recreation</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Kari Scott</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Willsboro Central School</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Denise C. Frederick</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Fulton County Public Health</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Clark Hults</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Newcomb Central School District</w:t>
            </w:r>
          </w:p>
        </w:tc>
      </w:tr>
      <w:tr w:rsidR="001670EC" w:rsidRPr="00680D98" w:rsidTr="00781533">
        <w:trPr>
          <w:trHeight w:val="255"/>
        </w:trPr>
        <w:tc>
          <w:tcPr>
            <w:tcW w:w="2440" w:type="dxa"/>
            <w:tcBorders>
              <w:top w:val="nil"/>
              <w:left w:val="single" w:sz="4" w:space="0" w:color="auto"/>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Lorine Heroth</w:t>
            </w:r>
          </w:p>
        </w:tc>
        <w:tc>
          <w:tcPr>
            <w:tcW w:w="7900" w:type="dxa"/>
            <w:tcBorders>
              <w:top w:val="nil"/>
              <w:left w:val="nil"/>
              <w:bottom w:val="single" w:sz="4" w:space="0" w:color="auto"/>
              <w:right w:val="single" w:sz="4" w:space="0" w:color="auto"/>
            </w:tcBorders>
            <w:noWrap/>
            <w:vAlign w:val="bottom"/>
          </w:tcPr>
          <w:p w:rsidR="001670EC" w:rsidRPr="00781533" w:rsidRDefault="001670EC" w:rsidP="00781533">
            <w:pPr>
              <w:spacing w:after="0" w:line="240" w:lineRule="auto"/>
              <w:rPr>
                <w:rFonts w:ascii="Microsoft Sans Serif" w:hAnsi="Microsoft Sans Serif" w:cs="Microsoft Sans Serif"/>
                <w:sz w:val="20"/>
                <w:szCs w:val="20"/>
              </w:rPr>
            </w:pPr>
            <w:r w:rsidRPr="00781533">
              <w:rPr>
                <w:rFonts w:ascii="Microsoft Sans Serif" w:hAnsi="Microsoft Sans Serif" w:cs="Microsoft Sans Serif"/>
                <w:sz w:val="20"/>
                <w:szCs w:val="20"/>
              </w:rPr>
              <w:t>Gloversville Middle School</w:t>
            </w:r>
          </w:p>
        </w:tc>
      </w:tr>
    </w:tbl>
    <w:p w:rsidR="001670EC" w:rsidRPr="006807D1" w:rsidRDefault="001670EC" w:rsidP="00BE6374">
      <w:pPr>
        <w:spacing w:before="480"/>
        <w:rPr>
          <w:b/>
          <w:color w:val="000000"/>
          <w:sz w:val="28"/>
          <w:szCs w:val="28"/>
        </w:rPr>
      </w:pPr>
      <w:r w:rsidRPr="006807D1">
        <w:rPr>
          <w:b/>
          <w:color w:val="000000"/>
          <w:sz w:val="28"/>
          <w:szCs w:val="28"/>
        </w:rPr>
        <w:t>Stakeholder’s Group May 23, 2013</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436"/>
        <w:gridCol w:w="7798"/>
      </w:tblGrid>
      <w:tr w:rsidR="001670EC" w:rsidRPr="00561F46" w:rsidTr="00561F46">
        <w:trPr>
          <w:trHeight w:hRule="exact" w:val="288"/>
        </w:trPr>
        <w:tc>
          <w:tcPr>
            <w:tcW w:w="1190" w:type="pct"/>
          </w:tcPr>
          <w:p w:rsidR="001670EC" w:rsidRPr="00561F46" w:rsidRDefault="001670EC" w:rsidP="00561F46">
            <w:pPr>
              <w:spacing w:line="240" w:lineRule="auto"/>
              <w:contextualSpacing/>
              <w:rPr>
                <w:b/>
              </w:rPr>
            </w:pPr>
            <w:r w:rsidRPr="00561F46">
              <w:rPr>
                <w:b/>
              </w:rPr>
              <w:t>Name</w:t>
            </w:r>
          </w:p>
        </w:tc>
        <w:tc>
          <w:tcPr>
            <w:tcW w:w="3810" w:type="pct"/>
          </w:tcPr>
          <w:p w:rsidR="001670EC" w:rsidRPr="00561F46" w:rsidRDefault="001670EC" w:rsidP="00561F46">
            <w:pPr>
              <w:spacing w:line="240" w:lineRule="auto"/>
              <w:contextualSpacing/>
              <w:rPr>
                <w:b/>
              </w:rPr>
            </w:pPr>
            <w:r w:rsidRPr="00561F46">
              <w:rPr>
                <w:b/>
              </w:rPr>
              <w:t>Agency</w:t>
            </w:r>
          </w:p>
        </w:tc>
      </w:tr>
      <w:tr w:rsidR="001670EC" w:rsidTr="00561F46">
        <w:trPr>
          <w:trHeight w:hRule="exact" w:val="288"/>
        </w:trPr>
        <w:tc>
          <w:tcPr>
            <w:tcW w:w="1190" w:type="pct"/>
            <w:vAlign w:val="bottom"/>
          </w:tcPr>
          <w:p w:rsidR="001670EC" w:rsidRDefault="001670EC" w:rsidP="00561F46">
            <w:pPr>
              <w:spacing w:line="240" w:lineRule="auto"/>
              <w:contextualSpacing/>
            </w:pPr>
            <w:r>
              <w:t>Vicky Wheaton Saracini</w:t>
            </w:r>
          </w:p>
        </w:tc>
        <w:tc>
          <w:tcPr>
            <w:tcW w:w="3810" w:type="pct"/>
            <w:vAlign w:val="bottom"/>
          </w:tcPr>
          <w:p w:rsidR="001670EC" w:rsidRDefault="001670EC" w:rsidP="00561F46">
            <w:pPr>
              <w:spacing w:line="240" w:lineRule="auto"/>
              <w:contextualSpacing/>
            </w:pPr>
            <w:r>
              <w:t>AHI and ARHN</w:t>
            </w:r>
          </w:p>
        </w:tc>
      </w:tr>
      <w:tr w:rsidR="001670EC" w:rsidTr="00561F46">
        <w:trPr>
          <w:trHeight w:hRule="exact" w:val="288"/>
        </w:trPr>
        <w:tc>
          <w:tcPr>
            <w:tcW w:w="1190" w:type="pct"/>
            <w:vAlign w:val="bottom"/>
          </w:tcPr>
          <w:p w:rsidR="001670EC" w:rsidRDefault="001670EC" w:rsidP="00561F46">
            <w:pPr>
              <w:spacing w:line="240" w:lineRule="auto"/>
              <w:contextualSpacing/>
            </w:pPr>
            <w:r>
              <w:t>Robert Martiniano</w:t>
            </w:r>
          </w:p>
        </w:tc>
        <w:tc>
          <w:tcPr>
            <w:tcW w:w="3810" w:type="pct"/>
            <w:vAlign w:val="bottom"/>
          </w:tcPr>
          <w:p w:rsidR="001670EC" w:rsidRDefault="001670EC" w:rsidP="00561F46">
            <w:pPr>
              <w:spacing w:line="240" w:lineRule="auto"/>
              <w:contextualSpacing/>
            </w:pPr>
            <w:r>
              <w:t>Center for Health and Workforce Studies</w:t>
            </w:r>
          </w:p>
        </w:tc>
      </w:tr>
      <w:tr w:rsidR="001670EC" w:rsidTr="00561F46">
        <w:trPr>
          <w:trHeight w:hRule="exact" w:val="288"/>
        </w:trPr>
        <w:tc>
          <w:tcPr>
            <w:tcW w:w="1190" w:type="pct"/>
            <w:vAlign w:val="bottom"/>
          </w:tcPr>
          <w:p w:rsidR="001670EC" w:rsidRDefault="001670EC" w:rsidP="00561F46">
            <w:pPr>
              <w:spacing w:line="240" w:lineRule="auto"/>
              <w:contextualSpacing/>
            </w:pPr>
            <w:r>
              <w:t>Margaret Luck</w:t>
            </w:r>
          </w:p>
        </w:tc>
        <w:tc>
          <w:tcPr>
            <w:tcW w:w="3810" w:type="pct"/>
            <w:vAlign w:val="bottom"/>
          </w:tcPr>
          <w:p w:rsidR="001670EC" w:rsidRDefault="001670EC" w:rsidP="00561F46">
            <w:pPr>
              <w:spacing w:line="240" w:lineRule="auto"/>
              <w:contextualSpacing/>
            </w:pPr>
            <w:r>
              <w:t>NLH Lifeline</w:t>
            </w:r>
          </w:p>
        </w:tc>
      </w:tr>
      <w:tr w:rsidR="001670EC" w:rsidTr="00561F46">
        <w:trPr>
          <w:trHeight w:hRule="exact" w:val="288"/>
        </w:trPr>
        <w:tc>
          <w:tcPr>
            <w:tcW w:w="1190" w:type="pct"/>
            <w:vAlign w:val="bottom"/>
          </w:tcPr>
          <w:p w:rsidR="001670EC" w:rsidRDefault="001670EC" w:rsidP="00561F46">
            <w:pPr>
              <w:spacing w:line="240" w:lineRule="auto"/>
              <w:contextualSpacing/>
            </w:pPr>
            <w:r>
              <w:t>Kim Conboy</w:t>
            </w:r>
          </w:p>
        </w:tc>
        <w:tc>
          <w:tcPr>
            <w:tcW w:w="3810" w:type="pct"/>
            <w:vAlign w:val="bottom"/>
          </w:tcPr>
          <w:p w:rsidR="001670EC" w:rsidRDefault="001670EC" w:rsidP="00561F46">
            <w:pPr>
              <w:spacing w:line="240" w:lineRule="auto"/>
              <w:contextualSpacing/>
            </w:pPr>
            <w:r>
              <w:t>Montgomery County Public Health</w:t>
            </w:r>
          </w:p>
        </w:tc>
      </w:tr>
      <w:tr w:rsidR="001670EC" w:rsidTr="00561F46">
        <w:trPr>
          <w:trHeight w:hRule="exact" w:val="288"/>
        </w:trPr>
        <w:tc>
          <w:tcPr>
            <w:tcW w:w="1190" w:type="pct"/>
            <w:vAlign w:val="bottom"/>
          </w:tcPr>
          <w:p w:rsidR="001670EC" w:rsidRDefault="001670EC" w:rsidP="00561F46">
            <w:pPr>
              <w:spacing w:line="240" w:lineRule="auto"/>
              <w:contextualSpacing/>
            </w:pPr>
            <w:r>
              <w:t>Deborah Skivington</w:t>
            </w:r>
          </w:p>
        </w:tc>
        <w:tc>
          <w:tcPr>
            <w:tcW w:w="3810" w:type="pct"/>
            <w:vAlign w:val="bottom"/>
          </w:tcPr>
          <w:p w:rsidR="001670EC" w:rsidRDefault="001670EC" w:rsidP="00561F46">
            <w:pPr>
              <w:spacing w:line="240" w:lineRule="auto"/>
              <w:contextualSpacing/>
            </w:pPr>
            <w:r>
              <w:t>Family Counseling Center</w:t>
            </w:r>
          </w:p>
        </w:tc>
      </w:tr>
      <w:tr w:rsidR="001670EC" w:rsidTr="00561F46">
        <w:trPr>
          <w:trHeight w:hRule="exact" w:val="288"/>
        </w:trPr>
        <w:tc>
          <w:tcPr>
            <w:tcW w:w="1190" w:type="pct"/>
            <w:vAlign w:val="bottom"/>
          </w:tcPr>
          <w:p w:rsidR="001670EC" w:rsidRDefault="001670EC" w:rsidP="00561F46">
            <w:pPr>
              <w:spacing w:line="240" w:lineRule="auto"/>
              <w:contextualSpacing/>
            </w:pPr>
            <w:r>
              <w:t>Michael Countryman</w:t>
            </w:r>
          </w:p>
        </w:tc>
        <w:tc>
          <w:tcPr>
            <w:tcW w:w="3810" w:type="pct"/>
            <w:vAlign w:val="bottom"/>
          </w:tcPr>
          <w:p w:rsidR="001670EC" w:rsidRDefault="001670EC" w:rsidP="00561F46">
            <w:pPr>
              <w:spacing w:line="240" w:lineRule="auto"/>
              <w:contextualSpacing/>
            </w:pPr>
            <w:r>
              <w:t>Family Counseling Center</w:t>
            </w:r>
          </w:p>
        </w:tc>
      </w:tr>
      <w:tr w:rsidR="001670EC" w:rsidTr="00561F46">
        <w:trPr>
          <w:trHeight w:hRule="exact" w:val="288"/>
        </w:trPr>
        <w:tc>
          <w:tcPr>
            <w:tcW w:w="1190" w:type="pct"/>
            <w:vAlign w:val="bottom"/>
          </w:tcPr>
          <w:p w:rsidR="001670EC" w:rsidRDefault="001670EC" w:rsidP="00561F46">
            <w:pPr>
              <w:spacing w:line="240" w:lineRule="auto"/>
              <w:contextualSpacing/>
            </w:pPr>
            <w:r>
              <w:t>Dale Woods</w:t>
            </w:r>
          </w:p>
        </w:tc>
        <w:tc>
          <w:tcPr>
            <w:tcW w:w="3810" w:type="pct"/>
            <w:vAlign w:val="bottom"/>
          </w:tcPr>
          <w:p w:rsidR="001670EC" w:rsidRDefault="001670EC" w:rsidP="00561F46">
            <w:pPr>
              <w:spacing w:line="240" w:lineRule="auto"/>
              <w:contextualSpacing/>
            </w:pPr>
            <w:r>
              <w:t>Fulton County Public Health</w:t>
            </w:r>
          </w:p>
        </w:tc>
      </w:tr>
      <w:tr w:rsidR="001670EC" w:rsidTr="00561F46">
        <w:trPr>
          <w:trHeight w:hRule="exact" w:val="288"/>
        </w:trPr>
        <w:tc>
          <w:tcPr>
            <w:tcW w:w="1190" w:type="pct"/>
            <w:vAlign w:val="bottom"/>
          </w:tcPr>
          <w:p w:rsidR="001670EC" w:rsidRDefault="001670EC" w:rsidP="00561F46">
            <w:pPr>
              <w:spacing w:line="240" w:lineRule="auto"/>
              <w:contextualSpacing/>
            </w:pPr>
            <w:r>
              <w:t>Christina Akey</w:t>
            </w:r>
          </w:p>
        </w:tc>
        <w:tc>
          <w:tcPr>
            <w:tcW w:w="3810" w:type="pct"/>
            <w:vAlign w:val="bottom"/>
          </w:tcPr>
          <w:p w:rsidR="001670EC" w:rsidRDefault="001670EC" w:rsidP="00561F46">
            <w:pPr>
              <w:spacing w:line="240" w:lineRule="auto"/>
              <w:contextualSpacing/>
            </w:pPr>
            <w:r>
              <w:t>Fulton County Public Health</w:t>
            </w:r>
          </w:p>
        </w:tc>
      </w:tr>
      <w:tr w:rsidR="001670EC" w:rsidTr="00561F46">
        <w:trPr>
          <w:trHeight w:hRule="exact" w:val="288"/>
        </w:trPr>
        <w:tc>
          <w:tcPr>
            <w:tcW w:w="1190" w:type="pct"/>
            <w:vAlign w:val="bottom"/>
          </w:tcPr>
          <w:p w:rsidR="001670EC" w:rsidRDefault="001670EC" w:rsidP="00561F46">
            <w:pPr>
              <w:spacing w:line="240" w:lineRule="auto"/>
              <w:contextualSpacing/>
            </w:pPr>
            <w:r>
              <w:t>Don Van Patten</w:t>
            </w:r>
          </w:p>
        </w:tc>
        <w:tc>
          <w:tcPr>
            <w:tcW w:w="3810" w:type="pct"/>
            <w:vAlign w:val="bottom"/>
          </w:tcPr>
          <w:p w:rsidR="001670EC" w:rsidRDefault="001670EC" w:rsidP="00561F46">
            <w:pPr>
              <w:spacing w:line="240" w:lineRule="auto"/>
              <w:contextualSpacing/>
            </w:pPr>
            <w:r>
              <w:t>NYSDOH</w:t>
            </w:r>
          </w:p>
        </w:tc>
      </w:tr>
      <w:tr w:rsidR="001670EC" w:rsidTr="00561F46">
        <w:trPr>
          <w:trHeight w:hRule="exact" w:val="288"/>
        </w:trPr>
        <w:tc>
          <w:tcPr>
            <w:tcW w:w="1190" w:type="pct"/>
            <w:vAlign w:val="bottom"/>
          </w:tcPr>
          <w:p w:rsidR="001670EC" w:rsidRDefault="001670EC" w:rsidP="00561F46">
            <w:pPr>
              <w:spacing w:line="240" w:lineRule="auto"/>
              <w:contextualSpacing/>
            </w:pPr>
            <w:r>
              <w:t>Denise C. Frederick</w:t>
            </w:r>
          </w:p>
        </w:tc>
        <w:tc>
          <w:tcPr>
            <w:tcW w:w="3810" w:type="pct"/>
            <w:vAlign w:val="bottom"/>
          </w:tcPr>
          <w:p w:rsidR="001670EC" w:rsidRDefault="001670EC" w:rsidP="00561F46">
            <w:pPr>
              <w:spacing w:line="240" w:lineRule="auto"/>
              <w:contextualSpacing/>
            </w:pPr>
            <w:r>
              <w:t>Fulton County Public Health</w:t>
            </w:r>
          </w:p>
        </w:tc>
      </w:tr>
      <w:tr w:rsidR="001670EC" w:rsidTr="00561F46">
        <w:trPr>
          <w:trHeight w:hRule="exact" w:val="288"/>
        </w:trPr>
        <w:tc>
          <w:tcPr>
            <w:tcW w:w="1190" w:type="pct"/>
            <w:vAlign w:val="bottom"/>
          </w:tcPr>
          <w:p w:rsidR="001670EC" w:rsidRDefault="001670EC" w:rsidP="00561F46">
            <w:pPr>
              <w:spacing w:line="240" w:lineRule="auto"/>
              <w:contextualSpacing/>
            </w:pPr>
            <w:r>
              <w:t>Sue Fraiser</w:t>
            </w:r>
          </w:p>
        </w:tc>
        <w:tc>
          <w:tcPr>
            <w:tcW w:w="3810" w:type="pct"/>
            <w:vAlign w:val="bottom"/>
          </w:tcPr>
          <w:p w:rsidR="001670EC" w:rsidRDefault="001670EC" w:rsidP="00561F46">
            <w:pPr>
              <w:spacing w:line="240" w:lineRule="auto"/>
              <w:contextualSpacing/>
            </w:pPr>
            <w:r>
              <w:t>Mountain Valley Hospice</w:t>
            </w:r>
          </w:p>
        </w:tc>
      </w:tr>
      <w:tr w:rsidR="001670EC" w:rsidTr="00561F46">
        <w:trPr>
          <w:trHeight w:hRule="exact" w:val="288"/>
        </w:trPr>
        <w:tc>
          <w:tcPr>
            <w:tcW w:w="1190" w:type="pct"/>
            <w:vAlign w:val="bottom"/>
          </w:tcPr>
          <w:p w:rsidR="001670EC" w:rsidRDefault="001670EC" w:rsidP="00561F46">
            <w:pPr>
              <w:spacing w:line="240" w:lineRule="auto"/>
              <w:contextualSpacing/>
            </w:pPr>
            <w:r>
              <w:t>Don Diefenbacher</w:t>
            </w:r>
          </w:p>
        </w:tc>
        <w:tc>
          <w:tcPr>
            <w:tcW w:w="3810" w:type="pct"/>
            <w:vAlign w:val="bottom"/>
          </w:tcPr>
          <w:p w:rsidR="001670EC" w:rsidRDefault="001670EC" w:rsidP="00561F46">
            <w:pPr>
              <w:spacing w:line="240" w:lineRule="auto"/>
              <w:contextualSpacing/>
            </w:pPr>
            <w:r>
              <w:t>Mountain Valley Hospice</w:t>
            </w:r>
          </w:p>
        </w:tc>
      </w:tr>
      <w:tr w:rsidR="001670EC" w:rsidTr="00561F46">
        <w:trPr>
          <w:trHeight w:hRule="exact" w:val="288"/>
        </w:trPr>
        <w:tc>
          <w:tcPr>
            <w:tcW w:w="1190" w:type="pct"/>
            <w:vAlign w:val="bottom"/>
          </w:tcPr>
          <w:p w:rsidR="001670EC" w:rsidRDefault="001670EC" w:rsidP="00561F46">
            <w:pPr>
              <w:spacing w:line="240" w:lineRule="auto"/>
              <w:contextualSpacing/>
            </w:pPr>
            <w:r>
              <w:t>Heidi Parisi</w:t>
            </w:r>
          </w:p>
        </w:tc>
        <w:tc>
          <w:tcPr>
            <w:tcW w:w="3810" w:type="pct"/>
            <w:vAlign w:val="bottom"/>
          </w:tcPr>
          <w:p w:rsidR="001670EC" w:rsidRDefault="001670EC" w:rsidP="00561F46">
            <w:pPr>
              <w:spacing w:line="240" w:lineRule="auto"/>
              <w:contextualSpacing/>
            </w:pPr>
            <w:r>
              <w:t>Nathan Littauer Hospital</w:t>
            </w:r>
          </w:p>
        </w:tc>
      </w:tr>
      <w:tr w:rsidR="001670EC" w:rsidTr="00561F46">
        <w:trPr>
          <w:trHeight w:hRule="exact" w:val="288"/>
        </w:trPr>
        <w:tc>
          <w:tcPr>
            <w:tcW w:w="1190" w:type="pct"/>
            <w:vAlign w:val="bottom"/>
          </w:tcPr>
          <w:p w:rsidR="001670EC" w:rsidRDefault="001670EC" w:rsidP="00561F46">
            <w:pPr>
              <w:spacing w:line="240" w:lineRule="auto"/>
              <w:contextualSpacing/>
            </w:pPr>
            <w:r>
              <w:t>Rachel Truckenmiller</w:t>
            </w:r>
          </w:p>
        </w:tc>
        <w:tc>
          <w:tcPr>
            <w:tcW w:w="3810" w:type="pct"/>
            <w:vAlign w:val="bottom"/>
          </w:tcPr>
          <w:p w:rsidR="001670EC" w:rsidRDefault="001670EC" w:rsidP="00561F46">
            <w:pPr>
              <w:spacing w:line="240" w:lineRule="auto"/>
              <w:contextualSpacing/>
            </w:pPr>
            <w:r>
              <w:t>ASAPP’s Promise</w:t>
            </w:r>
          </w:p>
        </w:tc>
      </w:tr>
      <w:tr w:rsidR="001670EC" w:rsidTr="00561F46">
        <w:trPr>
          <w:trHeight w:hRule="exact" w:val="288"/>
        </w:trPr>
        <w:tc>
          <w:tcPr>
            <w:tcW w:w="1190" w:type="pct"/>
            <w:vAlign w:val="bottom"/>
          </w:tcPr>
          <w:p w:rsidR="001670EC" w:rsidRDefault="001670EC" w:rsidP="00561F46">
            <w:pPr>
              <w:spacing w:line="240" w:lineRule="auto"/>
              <w:contextualSpacing/>
            </w:pPr>
            <w:r>
              <w:t>Ann Rhodes</w:t>
            </w:r>
          </w:p>
        </w:tc>
        <w:tc>
          <w:tcPr>
            <w:tcW w:w="3810" w:type="pct"/>
            <w:vAlign w:val="bottom"/>
          </w:tcPr>
          <w:p w:rsidR="001670EC" w:rsidRDefault="001670EC" w:rsidP="00561F46">
            <w:pPr>
              <w:spacing w:line="240" w:lineRule="auto"/>
              <w:contextualSpacing/>
            </w:pPr>
            <w:r>
              <w:t>HFM Prevention</w:t>
            </w:r>
          </w:p>
        </w:tc>
      </w:tr>
      <w:tr w:rsidR="001670EC" w:rsidTr="00561F46">
        <w:trPr>
          <w:trHeight w:hRule="exact" w:val="288"/>
        </w:trPr>
        <w:tc>
          <w:tcPr>
            <w:tcW w:w="1190" w:type="pct"/>
            <w:vAlign w:val="bottom"/>
          </w:tcPr>
          <w:p w:rsidR="001670EC" w:rsidRDefault="001670EC" w:rsidP="00561F46">
            <w:pPr>
              <w:spacing w:line="240" w:lineRule="auto"/>
              <w:contextualSpacing/>
            </w:pPr>
            <w:r>
              <w:t>Dom Baggetta</w:t>
            </w:r>
          </w:p>
        </w:tc>
        <w:tc>
          <w:tcPr>
            <w:tcW w:w="3810" w:type="pct"/>
            <w:vAlign w:val="bottom"/>
          </w:tcPr>
          <w:p w:rsidR="001670EC" w:rsidRDefault="001670EC" w:rsidP="00561F46">
            <w:pPr>
              <w:spacing w:line="240" w:lineRule="auto"/>
              <w:contextualSpacing/>
            </w:pPr>
            <w:r>
              <w:t>ASAPP’s Promise</w:t>
            </w:r>
          </w:p>
        </w:tc>
      </w:tr>
      <w:tr w:rsidR="001670EC" w:rsidTr="00561F46">
        <w:trPr>
          <w:trHeight w:hRule="exact" w:val="288"/>
        </w:trPr>
        <w:tc>
          <w:tcPr>
            <w:tcW w:w="1190" w:type="pct"/>
            <w:vAlign w:val="bottom"/>
          </w:tcPr>
          <w:p w:rsidR="001670EC" w:rsidRDefault="001670EC" w:rsidP="00561F46">
            <w:pPr>
              <w:spacing w:line="240" w:lineRule="auto"/>
              <w:contextualSpacing/>
            </w:pPr>
            <w:r>
              <w:t>Denise Benton</w:t>
            </w:r>
          </w:p>
        </w:tc>
        <w:tc>
          <w:tcPr>
            <w:tcW w:w="3810" w:type="pct"/>
            <w:vAlign w:val="bottom"/>
          </w:tcPr>
          <w:p w:rsidR="001670EC" w:rsidRDefault="001670EC" w:rsidP="00561F46">
            <w:pPr>
              <w:spacing w:line="240" w:lineRule="auto"/>
              <w:contextualSpacing/>
            </w:pPr>
            <w:r>
              <w:t>Catholic Charities</w:t>
            </w:r>
          </w:p>
        </w:tc>
      </w:tr>
      <w:tr w:rsidR="001670EC" w:rsidTr="00561F46">
        <w:trPr>
          <w:trHeight w:hRule="exact" w:val="288"/>
        </w:trPr>
        <w:tc>
          <w:tcPr>
            <w:tcW w:w="1190" w:type="pct"/>
            <w:vAlign w:val="bottom"/>
          </w:tcPr>
          <w:p w:rsidR="001670EC" w:rsidRDefault="001670EC" w:rsidP="00561F46">
            <w:pPr>
              <w:spacing w:line="240" w:lineRule="auto"/>
              <w:contextualSpacing/>
            </w:pPr>
            <w:r>
              <w:t>Michael Redcross</w:t>
            </w:r>
          </w:p>
        </w:tc>
        <w:tc>
          <w:tcPr>
            <w:tcW w:w="3810" w:type="pct"/>
            <w:vAlign w:val="bottom"/>
          </w:tcPr>
          <w:p w:rsidR="001670EC" w:rsidRDefault="001670EC" w:rsidP="00561F46">
            <w:pPr>
              <w:spacing w:line="240" w:lineRule="auto"/>
              <w:contextualSpacing/>
            </w:pPr>
            <w:r>
              <w:t>Nathan Littauer Hospital</w:t>
            </w:r>
          </w:p>
        </w:tc>
      </w:tr>
      <w:tr w:rsidR="001670EC" w:rsidTr="00561F46">
        <w:trPr>
          <w:trHeight w:hRule="exact" w:val="288"/>
        </w:trPr>
        <w:tc>
          <w:tcPr>
            <w:tcW w:w="1190" w:type="pct"/>
            <w:vAlign w:val="bottom"/>
          </w:tcPr>
          <w:p w:rsidR="001670EC" w:rsidRDefault="001670EC" w:rsidP="00561F46">
            <w:pPr>
              <w:spacing w:line="240" w:lineRule="auto"/>
              <w:contextualSpacing/>
            </w:pPr>
            <w:r>
              <w:t>Fabrizia Rodriguez</w:t>
            </w:r>
          </w:p>
        </w:tc>
        <w:tc>
          <w:tcPr>
            <w:tcW w:w="3810" w:type="pct"/>
            <w:vAlign w:val="bottom"/>
          </w:tcPr>
          <w:p w:rsidR="001670EC" w:rsidRDefault="001670EC" w:rsidP="00561F46">
            <w:pPr>
              <w:spacing w:line="240" w:lineRule="auto"/>
              <w:contextualSpacing/>
            </w:pPr>
            <w:r>
              <w:t>Centro Civico</w:t>
            </w:r>
          </w:p>
        </w:tc>
      </w:tr>
      <w:tr w:rsidR="001670EC" w:rsidTr="00561F46">
        <w:trPr>
          <w:trHeight w:hRule="exact" w:val="288"/>
        </w:trPr>
        <w:tc>
          <w:tcPr>
            <w:tcW w:w="1190" w:type="pct"/>
            <w:vAlign w:val="bottom"/>
          </w:tcPr>
          <w:p w:rsidR="001670EC" w:rsidRDefault="001670EC" w:rsidP="00561F46">
            <w:pPr>
              <w:spacing w:line="240" w:lineRule="auto"/>
              <w:contextualSpacing/>
            </w:pPr>
            <w:r>
              <w:t>Andrea Fettinger</w:t>
            </w:r>
          </w:p>
        </w:tc>
        <w:tc>
          <w:tcPr>
            <w:tcW w:w="3810" w:type="pct"/>
            <w:vAlign w:val="bottom"/>
          </w:tcPr>
          <w:p w:rsidR="001670EC" w:rsidRDefault="001670EC" w:rsidP="00561F46">
            <w:pPr>
              <w:spacing w:line="240" w:lineRule="auto"/>
              <w:contextualSpacing/>
            </w:pPr>
            <w:r>
              <w:t>Fulton County Aging and Youth</w:t>
            </w:r>
          </w:p>
        </w:tc>
      </w:tr>
      <w:tr w:rsidR="001670EC" w:rsidTr="00561F46">
        <w:trPr>
          <w:trHeight w:hRule="exact" w:val="288"/>
        </w:trPr>
        <w:tc>
          <w:tcPr>
            <w:tcW w:w="1190" w:type="pct"/>
            <w:vAlign w:val="bottom"/>
          </w:tcPr>
          <w:p w:rsidR="001670EC" w:rsidRDefault="001670EC" w:rsidP="00561F46">
            <w:pPr>
              <w:spacing w:line="240" w:lineRule="auto"/>
              <w:contextualSpacing/>
            </w:pPr>
            <w:r>
              <w:t>Danielle Temp</w:t>
            </w:r>
          </w:p>
        </w:tc>
        <w:tc>
          <w:tcPr>
            <w:tcW w:w="3810" w:type="pct"/>
            <w:vAlign w:val="bottom"/>
          </w:tcPr>
          <w:p w:rsidR="001670EC" w:rsidRDefault="001670EC" w:rsidP="00561F46">
            <w:pPr>
              <w:spacing w:line="240" w:lineRule="auto"/>
              <w:contextualSpacing/>
            </w:pPr>
            <w:r>
              <w:t>Community Health Center</w:t>
            </w:r>
          </w:p>
        </w:tc>
      </w:tr>
      <w:tr w:rsidR="001670EC" w:rsidTr="00561F46">
        <w:trPr>
          <w:trHeight w:hRule="exact" w:val="288"/>
        </w:trPr>
        <w:tc>
          <w:tcPr>
            <w:tcW w:w="1190" w:type="pct"/>
            <w:vAlign w:val="bottom"/>
          </w:tcPr>
          <w:p w:rsidR="001670EC" w:rsidRDefault="001670EC" w:rsidP="00561F46">
            <w:pPr>
              <w:spacing w:line="240" w:lineRule="auto"/>
              <w:contextualSpacing/>
            </w:pPr>
            <w:r>
              <w:t>Cheryl McGratten</w:t>
            </w:r>
          </w:p>
        </w:tc>
        <w:tc>
          <w:tcPr>
            <w:tcW w:w="3810" w:type="pct"/>
            <w:vAlign w:val="bottom"/>
          </w:tcPr>
          <w:p w:rsidR="001670EC" w:rsidRDefault="001670EC" w:rsidP="00561F46">
            <w:pPr>
              <w:spacing w:line="240" w:lineRule="auto"/>
              <w:contextualSpacing/>
            </w:pPr>
            <w:r>
              <w:t>Nathan Littauer Hospital</w:t>
            </w:r>
          </w:p>
        </w:tc>
      </w:tr>
      <w:tr w:rsidR="001670EC" w:rsidTr="00561F46">
        <w:trPr>
          <w:trHeight w:hRule="exact" w:val="288"/>
        </w:trPr>
        <w:tc>
          <w:tcPr>
            <w:tcW w:w="1190" w:type="pct"/>
            <w:vAlign w:val="bottom"/>
          </w:tcPr>
          <w:p w:rsidR="001670EC" w:rsidRDefault="001670EC" w:rsidP="00561F46">
            <w:pPr>
              <w:spacing w:line="240" w:lineRule="auto"/>
              <w:contextualSpacing/>
            </w:pPr>
            <w:r>
              <w:t>Barbara Vickery</w:t>
            </w:r>
          </w:p>
        </w:tc>
        <w:tc>
          <w:tcPr>
            <w:tcW w:w="3810" w:type="pct"/>
            <w:vAlign w:val="bottom"/>
          </w:tcPr>
          <w:p w:rsidR="001670EC" w:rsidRDefault="001670EC" w:rsidP="00561F46">
            <w:pPr>
              <w:spacing w:line="240" w:lineRule="auto"/>
              <w:contextualSpacing/>
            </w:pPr>
            <w:r>
              <w:t>CDCCCC</w:t>
            </w:r>
          </w:p>
        </w:tc>
      </w:tr>
      <w:tr w:rsidR="001670EC" w:rsidTr="00561F46">
        <w:trPr>
          <w:trHeight w:hRule="exact" w:val="288"/>
        </w:trPr>
        <w:tc>
          <w:tcPr>
            <w:tcW w:w="1190" w:type="pct"/>
            <w:vAlign w:val="bottom"/>
          </w:tcPr>
          <w:p w:rsidR="001670EC" w:rsidRDefault="001670EC" w:rsidP="00561F46">
            <w:pPr>
              <w:spacing w:line="240" w:lineRule="auto"/>
              <w:contextualSpacing/>
            </w:pPr>
            <w:r>
              <w:t>Sue Cridland</w:t>
            </w:r>
          </w:p>
        </w:tc>
        <w:tc>
          <w:tcPr>
            <w:tcW w:w="3810" w:type="pct"/>
            <w:vAlign w:val="bottom"/>
          </w:tcPr>
          <w:p w:rsidR="001670EC" w:rsidRDefault="001670EC" w:rsidP="00561F46">
            <w:pPr>
              <w:spacing w:line="240" w:lineRule="auto"/>
              <w:contextualSpacing/>
            </w:pPr>
            <w:r>
              <w:t>Nathan Littauer</w:t>
            </w:r>
          </w:p>
        </w:tc>
      </w:tr>
      <w:tr w:rsidR="001670EC" w:rsidTr="00561F46">
        <w:trPr>
          <w:trHeight w:hRule="exact" w:val="288"/>
        </w:trPr>
        <w:tc>
          <w:tcPr>
            <w:tcW w:w="1190" w:type="pct"/>
            <w:vAlign w:val="bottom"/>
          </w:tcPr>
          <w:p w:rsidR="001670EC" w:rsidRDefault="001670EC" w:rsidP="00561F46">
            <w:pPr>
              <w:spacing w:line="240" w:lineRule="auto"/>
              <w:contextualSpacing/>
            </w:pPr>
            <w:r>
              <w:t>Anne Solar</w:t>
            </w:r>
          </w:p>
        </w:tc>
        <w:tc>
          <w:tcPr>
            <w:tcW w:w="3810" w:type="pct"/>
            <w:vAlign w:val="bottom"/>
          </w:tcPr>
          <w:p w:rsidR="001670EC" w:rsidRDefault="001670EC" w:rsidP="00561F46">
            <w:pPr>
              <w:spacing w:line="240" w:lineRule="auto"/>
              <w:contextualSpacing/>
            </w:pPr>
            <w:r>
              <w:t>Futon County DSS</w:t>
            </w:r>
          </w:p>
        </w:tc>
      </w:tr>
    </w:tbl>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Default="003D1A5F" w:rsidP="009D402D">
      <w:pPr>
        <w:pStyle w:val="NoSpacing"/>
        <w:jc w:val="center"/>
        <w:rPr>
          <w:b/>
          <w:u w:val="single"/>
        </w:rPr>
      </w:pPr>
      <w:r w:rsidRPr="003D1A5F">
        <w:rPr>
          <w:noProof/>
        </w:rPr>
        <w:pict>
          <v:shape id="_x0000_s1098" type="#_x0000_t202" style="position:absolute;left:0;text-align:left;margin-left:221pt;margin-top:33.55pt;width:37.45pt;height:25.7pt;z-index:251671552">
            <v:textbox>
              <w:txbxContent>
                <w:p w:rsidR="00CF7937" w:rsidRDefault="00CF7937" w:rsidP="00CF7937">
                  <w:r>
                    <w:t>XIX</w:t>
                  </w:r>
                </w:p>
              </w:txbxContent>
            </v:textbox>
          </v:shape>
        </w:pict>
      </w:r>
    </w:p>
    <w:p w:rsidR="001670EC" w:rsidRPr="006807D1" w:rsidRDefault="001670EC" w:rsidP="006807D1">
      <w:pPr>
        <w:spacing w:after="0" w:line="240" w:lineRule="auto"/>
        <w:rPr>
          <w:b/>
          <w:sz w:val="28"/>
          <w:szCs w:val="28"/>
        </w:rPr>
      </w:pPr>
      <w:r>
        <w:rPr>
          <w:b/>
          <w:sz w:val="28"/>
          <w:szCs w:val="28"/>
        </w:rPr>
        <w:t>Stakeholder Discussion Groups Feedback / Notes</w:t>
      </w:r>
    </w:p>
    <w:p w:rsidR="001670EC" w:rsidRDefault="001670EC" w:rsidP="009D402D">
      <w:pPr>
        <w:pStyle w:val="NoSpacing"/>
        <w:jc w:val="center"/>
        <w:rPr>
          <w:b/>
          <w:u w:val="single"/>
        </w:rPr>
      </w:pPr>
    </w:p>
    <w:p w:rsidR="001670EC" w:rsidRDefault="001670EC" w:rsidP="009D402D">
      <w:pPr>
        <w:pStyle w:val="NoSpacing"/>
        <w:jc w:val="center"/>
        <w:rPr>
          <w:b/>
          <w:u w:val="single"/>
        </w:rPr>
      </w:pPr>
    </w:p>
    <w:p w:rsidR="001670EC" w:rsidRPr="00D520B8" w:rsidRDefault="001670EC" w:rsidP="009D402D">
      <w:pPr>
        <w:pStyle w:val="NoSpacing"/>
        <w:jc w:val="center"/>
        <w:rPr>
          <w:b/>
          <w:u w:val="single"/>
        </w:rPr>
      </w:pPr>
      <w:r w:rsidRPr="00BA49C3">
        <w:rPr>
          <w:b/>
          <w:u w:val="single"/>
        </w:rPr>
        <w:t>Environmental Group 1</w:t>
      </w:r>
    </w:p>
    <w:p w:rsidR="001670EC" w:rsidRPr="00BA49C3" w:rsidRDefault="001670EC" w:rsidP="009D402D">
      <w:pPr>
        <w:pStyle w:val="NoSpacing"/>
        <w:rPr>
          <w:u w:val="single"/>
        </w:rPr>
      </w:pPr>
      <w:r w:rsidRPr="00BA49C3">
        <w:rPr>
          <w:u w:val="single"/>
        </w:rPr>
        <w:t>Info Accuracy:</w:t>
      </w:r>
    </w:p>
    <w:p w:rsidR="001670EC" w:rsidRPr="00BA49C3" w:rsidRDefault="001670EC" w:rsidP="009D402D">
      <w:pPr>
        <w:pStyle w:val="NoSpacing"/>
      </w:pPr>
      <w:r w:rsidRPr="00BA49C3">
        <w:t>Falls – Data accurate</w:t>
      </w:r>
    </w:p>
    <w:p w:rsidR="001670EC" w:rsidRPr="00BA49C3" w:rsidRDefault="001670EC" w:rsidP="009D402D">
      <w:pPr>
        <w:pStyle w:val="NoSpacing"/>
      </w:pPr>
      <w:r w:rsidRPr="00BA49C3">
        <w:t>Need more info</w:t>
      </w:r>
      <w:r w:rsidRPr="00BA49C3">
        <w:br/>
        <w:t>1. Type of falls</w:t>
      </w:r>
    </w:p>
    <w:p w:rsidR="001670EC" w:rsidRPr="00BA49C3" w:rsidRDefault="001670EC" w:rsidP="009D402D">
      <w:pPr>
        <w:pStyle w:val="NoSpacing"/>
      </w:pPr>
      <w:r w:rsidRPr="00BA49C3">
        <w:t>2. When falls happen</w:t>
      </w:r>
    </w:p>
    <w:p w:rsidR="001670EC" w:rsidRPr="00BA49C3" w:rsidRDefault="001670EC" w:rsidP="009D402D">
      <w:pPr>
        <w:pStyle w:val="NoSpacing"/>
      </w:pPr>
      <w:r w:rsidRPr="00BA49C3">
        <w:t>3. Insurance status</w:t>
      </w:r>
    </w:p>
    <w:p w:rsidR="001670EC" w:rsidRPr="00BA49C3" w:rsidRDefault="001670EC" w:rsidP="009D402D">
      <w:pPr>
        <w:pStyle w:val="NoSpacing"/>
      </w:pPr>
    </w:p>
    <w:p w:rsidR="001670EC" w:rsidRPr="00BA49C3" w:rsidRDefault="001670EC" w:rsidP="009D402D">
      <w:pPr>
        <w:pStyle w:val="NoSpacing"/>
      </w:pPr>
      <w:r w:rsidRPr="00BA49C3">
        <w:t>Education</w:t>
      </w:r>
    </w:p>
    <w:p w:rsidR="001670EC" w:rsidRPr="00BA49C3" w:rsidRDefault="001670EC" w:rsidP="009D402D">
      <w:pPr>
        <w:pStyle w:val="NoSpacing"/>
      </w:pPr>
      <w:r w:rsidRPr="00BA49C3">
        <w:t>Culture</w:t>
      </w:r>
    </w:p>
    <w:p w:rsidR="001670EC" w:rsidRPr="00BA49C3" w:rsidRDefault="001670EC" w:rsidP="009D402D">
      <w:pPr>
        <w:pStyle w:val="NoSpacing"/>
      </w:pPr>
      <w:r w:rsidRPr="00BA49C3">
        <w:t>Community Linkages</w:t>
      </w:r>
    </w:p>
    <w:p w:rsidR="001670EC" w:rsidRPr="00BA49C3" w:rsidRDefault="001670EC" w:rsidP="009D402D">
      <w:pPr>
        <w:pStyle w:val="NoSpacing"/>
      </w:pPr>
    </w:p>
    <w:p w:rsidR="001670EC" w:rsidRPr="00BA49C3" w:rsidRDefault="001670EC" w:rsidP="009D402D">
      <w:pPr>
        <w:pStyle w:val="NoSpacing"/>
      </w:pPr>
      <w:r w:rsidRPr="00BA49C3">
        <w:t>Occupational Injuries</w:t>
      </w:r>
    </w:p>
    <w:p w:rsidR="001670EC" w:rsidRPr="00BA49C3" w:rsidRDefault="001670EC" w:rsidP="009D402D">
      <w:pPr>
        <w:pStyle w:val="NoSpacing"/>
      </w:pPr>
      <w:r w:rsidRPr="00BA49C3">
        <w:t>1. Employer policy</w:t>
      </w:r>
    </w:p>
    <w:p w:rsidR="001670EC" w:rsidRPr="00BA49C3" w:rsidRDefault="001670EC" w:rsidP="009D402D">
      <w:pPr>
        <w:pStyle w:val="NoSpacing"/>
      </w:pPr>
      <w:r w:rsidRPr="00BA49C3">
        <w:t>2. Lack of providers/limited access</w:t>
      </w:r>
    </w:p>
    <w:p w:rsidR="001670EC" w:rsidRPr="00BA49C3" w:rsidRDefault="001670EC" w:rsidP="009D402D">
      <w:pPr>
        <w:pStyle w:val="NoSpacing"/>
      </w:pPr>
      <w:r w:rsidRPr="00BA49C3">
        <w:t>3. ED mindset/education</w:t>
      </w:r>
    </w:p>
    <w:p w:rsidR="001670EC" w:rsidRPr="00BA49C3" w:rsidRDefault="001670EC" w:rsidP="009D402D">
      <w:pPr>
        <w:pStyle w:val="NoSpacing"/>
      </w:pPr>
    </w:p>
    <w:p w:rsidR="001670EC" w:rsidRPr="00BA49C3" w:rsidRDefault="001670EC" w:rsidP="009D402D">
      <w:pPr>
        <w:pStyle w:val="NoSpacing"/>
      </w:pPr>
      <w:r w:rsidRPr="00BA49C3">
        <w:t>Poisoning</w:t>
      </w:r>
    </w:p>
    <w:p w:rsidR="001670EC" w:rsidRPr="00BA49C3" w:rsidRDefault="001670EC" w:rsidP="009D402D">
      <w:pPr>
        <w:pStyle w:val="NoSpacing"/>
      </w:pPr>
      <w:r w:rsidRPr="00BA49C3">
        <w:t>Child access to adult meds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Challenges:</w:t>
      </w:r>
    </w:p>
    <w:p w:rsidR="001670EC" w:rsidRPr="00BA49C3" w:rsidRDefault="001670EC" w:rsidP="009D402D">
      <w:pPr>
        <w:pStyle w:val="NoSpacing"/>
      </w:pPr>
      <w:r w:rsidRPr="00BA49C3">
        <w:t>Need urgent care</w:t>
      </w:r>
    </w:p>
    <w:p w:rsidR="001670EC" w:rsidRPr="00BA49C3" w:rsidRDefault="001670EC" w:rsidP="009D402D">
      <w:pPr>
        <w:pStyle w:val="NoSpacing"/>
      </w:pPr>
      <w:r w:rsidRPr="00BA49C3">
        <w:t>Education</w:t>
      </w:r>
    </w:p>
    <w:p w:rsidR="001670EC" w:rsidRPr="00BA49C3" w:rsidRDefault="001670EC" w:rsidP="009D402D">
      <w:pPr>
        <w:pStyle w:val="NoSpacing"/>
      </w:pPr>
      <w:r w:rsidRPr="00BA49C3">
        <w:t>Transportation</w:t>
      </w:r>
    </w:p>
    <w:p w:rsidR="001670EC" w:rsidRPr="00BA49C3" w:rsidRDefault="001670EC" w:rsidP="009D402D">
      <w:pPr>
        <w:pStyle w:val="NoSpacing"/>
      </w:pPr>
      <w:r w:rsidRPr="00BA49C3">
        <w:t>Culture/community/individual norms</w:t>
      </w:r>
    </w:p>
    <w:p w:rsidR="001670EC" w:rsidRPr="00BA49C3" w:rsidRDefault="001670EC" w:rsidP="009D402D">
      <w:pPr>
        <w:pStyle w:val="NoSpacing"/>
      </w:pPr>
      <w:r w:rsidRPr="00BA49C3">
        <w:t>Policy Reimbursement</w:t>
      </w:r>
    </w:p>
    <w:p w:rsidR="001670EC" w:rsidRPr="00BA49C3" w:rsidRDefault="001670EC" w:rsidP="009D402D">
      <w:pPr>
        <w:pStyle w:val="NoSpacing"/>
      </w:pPr>
      <w:r w:rsidRPr="00BA49C3">
        <w:t>Emerging Trends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Priority:</w:t>
      </w:r>
    </w:p>
    <w:p w:rsidR="001670EC" w:rsidRPr="00BA49C3" w:rsidRDefault="001670EC" w:rsidP="009D402D">
      <w:pPr>
        <w:pStyle w:val="NoSpacing"/>
      </w:pPr>
      <w:r w:rsidRPr="00BA49C3">
        <w:t>Aging</w:t>
      </w:r>
    </w:p>
    <w:p w:rsidR="001670EC" w:rsidRPr="00BA49C3" w:rsidRDefault="001670EC" w:rsidP="009D402D">
      <w:pPr>
        <w:pStyle w:val="NoSpacing"/>
      </w:pPr>
      <w:r w:rsidRPr="00BA49C3">
        <w:t>Special Needs populations</w:t>
      </w:r>
    </w:p>
    <w:p w:rsidR="001670EC" w:rsidRPr="00BA49C3" w:rsidRDefault="001670EC" w:rsidP="009D402D">
      <w:pPr>
        <w:pStyle w:val="NoSpacing"/>
      </w:pPr>
    </w:p>
    <w:p w:rsidR="001670EC" w:rsidRPr="00BA49C3" w:rsidRDefault="001670EC" w:rsidP="009D402D">
      <w:pPr>
        <w:pStyle w:val="NoSpacing"/>
        <w:jc w:val="center"/>
        <w:rPr>
          <w:b/>
          <w:u w:val="single"/>
        </w:rPr>
      </w:pPr>
      <w:r w:rsidRPr="00BA49C3">
        <w:rPr>
          <w:b/>
          <w:u w:val="single"/>
        </w:rPr>
        <w:t>Chronic Disease Group 2</w:t>
      </w:r>
    </w:p>
    <w:p w:rsidR="001670EC" w:rsidRPr="00BA49C3" w:rsidRDefault="001670EC" w:rsidP="009D402D">
      <w:pPr>
        <w:pStyle w:val="NoSpacing"/>
      </w:pPr>
      <w:r w:rsidRPr="00BA49C3">
        <w:t>Healthy food more costly</w:t>
      </w:r>
    </w:p>
    <w:p w:rsidR="001670EC" w:rsidRPr="00BA49C3" w:rsidRDefault="001670EC" w:rsidP="009D402D">
      <w:pPr>
        <w:pStyle w:val="NoSpacing"/>
      </w:pPr>
      <w:r w:rsidRPr="00BA49C3">
        <w:t>Access to places to play and exercise</w:t>
      </w:r>
    </w:p>
    <w:p w:rsidR="001670EC" w:rsidRPr="00BA49C3" w:rsidRDefault="001670EC" w:rsidP="009D402D">
      <w:pPr>
        <w:pStyle w:val="NoSpacing"/>
      </w:pPr>
      <w:r w:rsidRPr="00BA49C3">
        <w:t>Desire/need for parent supervision</w:t>
      </w:r>
    </w:p>
    <w:p w:rsidR="001670EC" w:rsidRPr="00BA49C3" w:rsidRDefault="001670EC" w:rsidP="009D402D">
      <w:pPr>
        <w:pStyle w:val="NoSpacing"/>
      </w:pPr>
      <w:r w:rsidRPr="00BA49C3">
        <w:t>Need access for homebound</w:t>
      </w:r>
    </w:p>
    <w:p w:rsidR="001670EC" w:rsidRPr="00BA49C3" w:rsidRDefault="001670EC" w:rsidP="009D402D">
      <w:pPr>
        <w:pStyle w:val="NoSpacing"/>
      </w:pPr>
      <w:r w:rsidRPr="00BA49C3">
        <w:t>Education and poverty influence smoking/nutrition</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Info accuracy</w:t>
      </w:r>
    </w:p>
    <w:p w:rsidR="001670EC" w:rsidRPr="00BA49C3" w:rsidRDefault="001670EC" w:rsidP="009D402D">
      <w:pPr>
        <w:pStyle w:val="NoSpacing"/>
      </w:pPr>
      <w:r w:rsidRPr="00BA49C3">
        <w:t>Schools participate in data entry</w:t>
      </w:r>
    </w:p>
    <w:p w:rsidR="001670EC" w:rsidRPr="00BA49C3" w:rsidRDefault="001670EC" w:rsidP="009D402D">
      <w:pPr>
        <w:pStyle w:val="NoSpacing"/>
      </w:pPr>
      <w:r w:rsidRPr="00BA49C3">
        <w:t>Deaths – coding, asthma</w:t>
      </w:r>
    </w:p>
    <w:p w:rsidR="001670EC" w:rsidRPr="00BA49C3" w:rsidRDefault="001670EC" w:rsidP="009D402D">
      <w:pPr>
        <w:pStyle w:val="NoSpacing"/>
      </w:pPr>
      <w:r w:rsidRPr="00BA49C3">
        <w:t>Smoking – MH – respiratory disease</w:t>
      </w:r>
    </w:p>
    <w:p w:rsidR="001670EC" w:rsidRPr="00BA49C3" w:rsidRDefault="001670EC" w:rsidP="009D402D">
      <w:pPr>
        <w:pStyle w:val="NoSpacing"/>
      </w:pPr>
      <w:r w:rsidRPr="00BA49C3">
        <w:t>Data lags</w:t>
      </w:r>
    </w:p>
    <w:p w:rsidR="001670EC" w:rsidRPr="00BA49C3" w:rsidRDefault="001670EC" w:rsidP="009D402D">
      <w:pPr>
        <w:pStyle w:val="NoSpacing"/>
      </w:pPr>
    </w:p>
    <w:p w:rsidR="001670EC" w:rsidRPr="00BA49C3" w:rsidRDefault="003D1A5F" w:rsidP="009D402D">
      <w:pPr>
        <w:pStyle w:val="NoSpacing"/>
        <w:rPr>
          <w:u w:val="single"/>
        </w:rPr>
      </w:pPr>
      <w:r w:rsidRPr="003D1A5F">
        <w:rPr>
          <w:noProof/>
        </w:rPr>
        <w:pict>
          <v:shape id="_x0000_s1099" type="#_x0000_t202" style="position:absolute;margin-left:217.55pt;margin-top:27.65pt;width:31.9pt;height:25.7pt;z-index:251672576">
            <v:textbox>
              <w:txbxContent>
                <w:p w:rsidR="00CF7937" w:rsidRDefault="00CF7937" w:rsidP="00CF7937">
                  <w:r>
                    <w:t>XX</w:t>
                  </w:r>
                </w:p>
              </w:txbxContent>
            </v:textbox>
          </v:shape>
        </w:pict>
      </w:r>
      <w:r w:rsidR="001670EC" w:rsidRPr="00BA49C3">
        <w:rPr>
          <w:u w:val="single"/>
        </w:rPr>
        <w:t>Going well</w:t>
      </w:r>
    </w:p>
    <w:p w:rsidR="001670EC" w:rsidRPr="00BA49C3" w:rsidRDefault="001670EC" w:rsidP="009D402D">
      <w:pPr>
        <w:pStyle w:val="NoSpacing"/>
      </w:pPr>
      <w:r w:rsidRPr="00BA49C3">
        <w:t>Many Resources</w:t>
      </w:r>
    </w:p>
    <w:p w:rsidR="001670EC" w:rsidRPr="00BA49C3" w:rsidRDefault="001670EC" w:rsidP="009D402D">
      <w:pPr>
        <w:pStyle w:val="NoSpacing"/>
      </w:pPr>
      <w:r w:rsidRPr="00BA49C3">
        <w:t>Quality HC provides/facilitates work at outreach</w:t>
      </w:r>
    </w:p>
    <w:p w:rsidR="001670EC" w:rsidRPr="00BA49C3" w:rsidRDefault="001670EC" w:rsidP="009D402D">
      <w:pPr>
        <w:pStyle w:val="NoSpacing"/>
      </w:pPr>
      <w:r w:rsidRPr="00BA49C3">
        <w:t>Providers working well</w:t>
      </w:r>
    </w:p>
    <w:p w:rsidR="001670EC" w:rsidRPr="00BA49C3" w:rsidRDefault="001670EC" w:rsidP="009D402D">
      <w:pPr>
        <w:pStyle w:val="NoSpacing"/>
      </w:pPr>
      <w:r w:rsidRPr="00BA49C3">
        <w:t>Enroller – OFA/lifeline</w:t>
      </w:r>
    </w:p>
    <w:p w:rsidR="001670EC" w:rsidRPr="00BA49C3" w:rsidRDefault="001670EC" w:rsidP="009D402D">
      <w:pPr>
        <w:pStyle w:val="NoSpacing"/>
      </w:pPr>
      <w:r w:rsidRPr="00BA49C3">
        <w:t>Homecare transition</w:t>
      </w:r>
    </w:p>
    <w:p w:rsidR="001670EC" w:rsidRPr="00BA49C3" w:rsidRDefault="001670EC" w:rsidP="009D402D">
      <w:pPr>
        <w:pStyle w:val="NoSpacing"/>
      </w:pPr>
      <w:r w:rsidRPr="00BA49C3">
        <w:t>Cancer screening</w:t>
      </w:r>
    </w:p>
    <w:p w:rsidR="001670EC" w:rsidRPr="00BA49C3" w:rsidRDefault="001670EC" w:rsidP="009D402D">
      <w:pPr>
        <w:pStyle w:val="NoSpacing"/>
        <w:rPr>
          <w:u w:val="single"/>
        </w:rPr>
      </w:pPr>
    </w:p>
    <w:p w:rsidR="001670EC" w:rsidRPr="00BA49C3" w:rsidRDefault="001670EC" w:rsidP="009D402D">
      <w:pPr>
        <w:pStyle w:val="NoSpacing"/>
        <w:rPr>
          <w:u w:val="single"/>
        </w:rPr>
      </w:pPr>
      <w:r w:rsidRPr="00BA49C3">
        <w:rPr>
          <w:u w:val="single"/>
        </w:rPr>
        <w:t>How effective?</w:t>
      </w:r>
    </w:p>
    <w:p w:rsidR="001670EC" w:rsidRPr="00BA49C3" w:rsidRDefault="001670EC" w:rsidP="009D402D">
      <w:pPr>
        <w:pStyle w:val="NoSpacing"/>
      </w:pPr>
      <w:r w:rsidRPr="00BA49C3">
        <w:t>Effective - utilization</w:t>
      </w:r>
    </w:p>
    <w:p w:rsidR="001670EC" w:rsidRPr="00BA49C3" w:rsidRDefault="001670EC" w:rsidP="009D402D">
      <w:pPr>
        <w:pStyle w:val="NoSpacing"/>
      </w:pPr>
      <w:r w:rsidRPr="00BA49C3">
        <w:t>Programs: Homecare</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Challenges</w:t>
      </w:r>
    </w:p>
    <w:p w:rsidR="001670EC" w:rsidRPr="00BA49C3" w:rsidRDefault="001670EC" w:rsidP="009D402D">
      <w:pPr>
        <w:pStyle w:val="NoSpacing"/>
      </w:pPr>
      <w:r w:rsidRPr="00BA49C3">
        <w:t xml:space="preserve">Need more youth MH/SA services – local </w:t>
      </w:r>
    </w:p>
    <w:p w:rsidR="001670EC" w:rsidRPr="00BA49C3" w:rsidRDefault="001670EC" w:rsidP="009D402D">
      <w:pPr>
        <w:pStyle w:val="NoSpacing"/>
      </w:pPr>
      <w:r w:rsidRPr="00BA49C3">
        <w:t>Increase of resources</w:t>
      </w:r>
    </w:p>
    <w:p w:rsidR="001670EC" w:rsidRPr="00BA49C3" w:rsidRDefault="001670EC" w:rsidP="009D402D">
      <w:pPr>
        <w:pStyle w:val="NoSpacing"/>
      </w:pPr>
      <w:r w:rsidRPr="00BA49C3">
        <w:t>Lack PC providers/hours/days</w:t>
      </w:r>
    </w:p>
    <w:p w:rsidR="001670EC" w:rsidRPr="00BA49C3" w:rsidRDefault="001670EC" w:rsidP="009D402D">
      <w:pPr>
        <w:pStyle w:val="NoSpacing"/>
      </w:pPr>
      <w:r w:rsidRPr="00BA49C3">
        <w:t>System allows ED use for non ER visits</w:t>
      </w:r>
    </w:p>
    <w:p w:rsidR="001670EC" w:rsidRPr="00BA49C3" w:rsidRDefault="001670EC" w:rsidP="009D402D">
      <w:pPr>
        <w:pStyle w:val="NoSpacing"/>
      </w:pPr>
      <w:r w:rsidRPr="00BA49C3">
        <w:t>Revisits – environment and follow-up reactive</w:t>
      </w:r>
    </w:p>
    <w:p w:rsidR="001670EC" w:rsidRPr="00BA49C3" w:rsidRDefault="001670EC" w:rsidP="009D402D">
      <w:pPr>
        <w:pStyle w:val="NoSpacing"/>
      </w:pPr>
    </w:p>
    <w:p w:rsidR="001670EC" w:rsidRDefault="001670EC" w:rsidP="009D402D">
      <w:pPr>
        <w:pStyle w:val="NoSpacing"/>
        <w:jc w:val="center"/>
        <w:rPr>
          <w:b/>
          <w:u w:val="single"/>
        </w:rPr>
      </w:pPr>
    </w:p>
    <w:p w:rsidR="001670EC" w:rsidRPr="00BA49C3" w:rsidRDefault="001670EC" w:rsidP="009D402D">
      <w:pPr>
        <w:pStyle w:val="NoSpacing"/>
        <w:jc w:val="center"/>
        <w:rPr>
          <w:b/>
        </w:rPr>
      </w:pPr>
      <w:r w:rsidRPr="00BA49C3">
        <w:rPr>
          <w:b/>
          <w:u w:val="single"/>
        </w:rPr>
        <w:t>Women, Infants, Children Group 3</w:t>
      </w:r>
    </w:p>
    <w:p w:rsidR="001670EC" w:rsidRPr="00BA49C3" w:rsidRDefault="001670EC" w:rsidP="009D402D">
      <w:pPr>
        <w:pStyle w:val="NoSpacing"/>
      </w:pPr>
      <w:r w:rsidRPr="00BA49C3">
        <w:t>Asthma – need local coalition</w:t>
      </w:r>
    </w:p>
    <w:p w:rsidR="001670EC" w:rsidRPr="00BA49C3" w:rsidRDefault="001670EC" w:rsidP="009D402D">
      <w:pPr>
        <w:pStyle w:val="NoSpacing"/>
      </w:pPr>
      <w:r w:rsidRPr="00BA49C3">
        <w:t>Is it smoking during pregnancy?</w:t>
      </w:r>
    </w:p>
    <w:p w:rsidR="001670EC" w:rsidRPr="00BA49C3" w:rsidRDefault="001670EC" w:rsidP="009D402D">
      <w:pPr>
        <w:pStyle w:val="NoSpacing"/>
      </w:pPr>
      <w:r w:rsidRPr="00BA49C3">
        <w:t>HOTSPOT</w:t>
      </w:r>
    </w:p>
    <w:p w:rsidR="001670EC" w:rsidRPr="00BA49C3" w:rsidRDefault="001670EC" w:rsidP="009D402D">
      <w:pPr>
        <w:pStyle w:val="NoSpacing"/>
      </w:pPr>
      <w:r w:rsidRPr="00BA49C3">
        <w:t>Second hand smoke?</w:t>
      </w:r>
    </w:p>
    <w:p w:rsidR="001670EC" w:rsidRPr="00BA49C3" w:rsidRDefault="001670EC" w:rsidP="009D402D">
      <w:pPr>
        <w:pStyle w:val="NoSpacing"/>
      </w:pPr>
      <w:r w:rsidRPr="00BA49C3">
        <w:t>Smoking cessation – NLH</w:t>
      </w:r>
    </w:p>
    <w:p w:rsidR="001670EC" w:rsidRPr="00BA49C3" w:rsidRDefault="001670EC" w:rsidP="009D402D">
      <w:pPr>
        <w:pStyle w:val="NoSpacing"/>
      </w:pPr>
      <w:r w:rsidRPr="00BA49C3">
        <w:t>Project ACTION/ Reality Check</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Going Well:</w:t>
      </w:r>
    </w:p>
    <w:p w:rsidR="001670EC" w:rsidRPr="00BA49C3" w:rsidRDefault="001670EC" w:rsidP="009D402D">
      <w:pPr>
        <w:pStyle w:val="NoSpacing"/>
      </w:pPr>
      <w:r w:rsidRPr="00BA49C3">
        <w:t>Teen pregnancy – some under 15</w:t>
      </w:r>
    </w:p>
    <w:p w:rsidR="001670EC" w:rsidRPr="00BA49C3" w:rsidRDefault="001670EC" w:rsidP="009D402D">
      <w:pPr>
        <w:pStyle w:val="NoSpacing"/>
      </w:pPr>
      <w:r w:rsidRPr="00BA49C3">
        <w:t>CHC – Barbara Chriss</w:t>
      </w:r>
    </w:p>
    <w:p w:rsidR="001670EC" w:rsidRPr="00BA49C3" w:rsidRDefault="001670EC" w:rsidP="009D402D">
      <w:pPr>
        <w:pStyle w:val="NoSpacing"/>
      </w:pPr>
      <w:r w:rsidRPr="00BA49C3">
        <w:t>PH visits – educational outreach</w:t>
      </w:r>
    </w:p>
    <w:p w:rsidR="001670EC" w:rsidRPr="00BA49C3" w:rsidRDefault="001670EC" w:rsidP="009D402D">
      <w:pPr>
        <w:pStyle w:val="NoSpacing"/>
      </w:pPr>
      <w:r w:rsidRPr="00BA49C3">
        <w:t>Social norms/Educational status</w:t>
      </w:r>
    </w:p>
    <w:p w:rsidR="001670EC" w:rsidRPr="00BA49C3" w:rsidRDefault="001670EC" w:rsidP="009D402D">
      <w:pPr>
        <w:pStyle w:val="NoSpacing"/>
      </w:pPr>
      <w:r w:rsidRPr="00BA49C3">
        <w:t>Planned Parenthood/ TA Program from DSS</w:t>
      </w:r>
    </w:p>
    <w:p w:rsidR="001670EC" w:rsidRPr="00BA49C3" w:rsidRDefault="001670EC" w:rsidP="009D402D">
      <w:pPr>
        <w:pStyle w:val="NoSpacing"/>
      </w:pPr>
    </w:p>
    <w:p w:rsidR="001670EC" w:rsidRPr="00BA49C3" w:rsidRDefault="001670EC" w:rsidP="009D402D">
      <w:pPr>
        <w:pStyle w:val="NoSpacing"/>
      </w:pPr>
      <w:r w:rsidRPr="00BA49C3">
        <w:t>Lead – improve connection with Housing Authority</w:t>
      </w:r>
    </w:p>
    <w:p w:rsidR="001670EC" w:rsidRPr="00BA49C3" w:rsidRDefault="001670EC" w:rsidP="009D402D">
      <w:pPr>
        <w:pStyle w:val="NoSpacing"/>
      </w:pPr>
      <w:r w:rsidRPr="00BA49C3">
        <w:t>Parental follow through</w:t>
      </w:r>
    </w:p>
    <w:p w:rsidR="001670EC" w:rsidRPr="00BA49C3" w:rsidRDefault="001670EC" w:rsidP="009D402D">
      <w:pPr>
        <w:pStyle w:val="NoSpacing"/>
      </w:pPr>
      <w:r w:rsidRPr="00BA49C3">
        <w:t>Ordinance/Regs/Changing policies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Challenges:</w:t>
      </w:r>
    </w:p>
    <w:p w:rsidR="001670EC" w:rsidRPr="00BA49C3" w:rsidRDefault="001670EC" w:rsidP="009D402D">
      <w:pPr>
        <w:pStyle w:val="NoSpacing"/>
      </w:pPr>
      <w:r w:rsidRPr="00BA49C3">
        <w:t>Funding</w:t>
      </w:r>
    </w:p>
    <w:p w:rsidR="001670EC" w:rsidRPr="00BA49C3" w:rsidRDefault="001670EC" w:rsidP="009D402D">
      <w:pPr>
        <w:pStyle w:val="NoSpacing"/>
      </w:pPr>
      <w:r w:rsidRPr="00BA49C3">
        <w:t>Staff</w:t>
      </w:r>
    </w:p>
    <w:p w:rsidR="001670EC" w:rsidRPr="00BA49C3" w:rsidRDefault="001670EC" w:rsidP="009D402D">
      <w:pPr>
        <w:pStyle w:val="NoSpacing"/>
      </w:pPr>
    </w:p>
    <w:p w:rsidR="001670EC" w:rsidRPr="00BA49C3" w:rsidRDefault="001670EC" w:rsidP="009D402D">
      <w:pPr>
        <w:pStyle w:val="NoSpacing"/>
      </w:pPr>
      <w:r w:rsidRPr="00BA49C3">
        <w:t>Trends:</w:t>
      </w:r>
    </w:p>
    <w:p w:rsidR="001670EC" w:rsidRPr="00BA49C3" w:rsidRDefault="001670EC" w:rsidP="009D402D">
      <w:pPr>
        <w:pStyle w:val="NoSpacing"/>
      </w:pPr>
      <w:r w:rsidRPr="00BA49C3">
        <w:t>Social media/electronics</w:t>
      </w:r>
    </w:p>
    <w:p w:rsidR="001670EC" w:rsidRPr="00BA49C3" w:rsidRDefault="001670EC" w:rsidP="009D402D">
      <w:pPr>
        <w:pStyle w:val="NoSpacing"/>
      </w:pPr>
      <w:r w:rsidRPr="00BA49C3">
        <w:t>Online newsletters</w:t>
      </w:r>
    </w:p>
    <w:p w:rsidR="001670EC" w:rsidRPr="00BA49C3" w:rsidRDefault="001670EC" w:rsidP="009D402D">
      <w:pPr>
        <w:pStyle w:val="NoSpacing"/>
      </w:pPr>
      <w:r w:rsidRPr="00BA49C3">
        <w:t>Medicaid</w:t>
      </w:r>
    </w:p>
    <w:p w:rsidR="001670EC" w:rsidRPr="00BA49C3" w:rsidRDefault="001670EC" w:rsidP="009D402D">
      <w:pPr>
        <w:pStyle w:val="NoSpacing"/>
      </w:pPr>
      <w:r w:rsidRPr="00BA49C3">
        <w:t>211</w:t>
      </w:r>
    </w:p>
    <w:p w:rsidR="001670EC" w:rsidRPr="00BA49C3" w:rsidRDefault="001670EC" w:rsidP="009D402D">
      <w:pPr>
        <w:pStyle w:val="NoSpacing"/>
      </w:pPr>
      <w:r w:rsidRPr="00BA49C3">
        <w:t>Injuries – unsupervised kids or abuse?</w:t>
      </w:r>
    </w:p>
    <w:p w:rsidR="001670EC" w:rsidRPr="00BA49C3" w:rsidRDefault="003D1A5F" w:rsidP="009D402D">
      <w:pPr>
        <w:pStyle w:val="NoSpacing"/>
      </w:pPr>
      <w:r>
        <w:rPr>
          <w:noProof/>
        </w:rPr>
        <w:pict>
          <v:shape id="_x0000_s1100" type="#_x0000_t202" style="position:absolute;margin-left:219.25pt;margin-top:33pt;width:37.45pt;height:25.7pt;z-index:251673600">
            <v:textbox>
              <w:txbxContent>
                <w:p w:rsidR="00CF7937" w:rsidRDefault="00CF7937" w:rsidP="00CF7937">
                  <w:r>
                    <w:t>XXI</w:t>
                  </w:r>
                </w:p>
              </w:txbxContent>
            </v:textbox>
          </v:shape>
        </w:pict>
      </w:r>
    </w:p>
    <w:p w:rsidR="001670EC" w:rsidRPr="00BA49C3" w:rsidRDefault="001670EC" w:rsidP="009D402D">
      <w:pPr>
        <w:pStyle w:val="NoSpacing"/>
        <w:rPr>
          <w:u w:val="single"/>
        </w:rPr>
      </w:pPr>
      <w:r w:rsidRPr="00BA49C3">
        <w:rPr>
          <w:u w:val="single"/>
        </w:rPr>
        <w:t>Priorities:</w:t>
      </w:r>
    </w:p>
    <w:p w:rsidR="001670EC" w:rsidRPr="00BA49C3" w:rsidRDefault="001670EC" w:rsidP="009D402D">
      <w:pPr>
        <w:pStyle w:val="NoSpacing"/>
      </w:pPr>
      <w:r w:rsidRPr="00BA49C3">
        <w:t>Economic</w:t>
      </w:r>
    </w:p>
    <w:p w:rsidR="001670EC" w:rsidRPr="00BA49C3" w:rsidRDefault="001670EC" w:rsidP="009D402D">
      <w:pPr>
        <w:pStyle w:val="NoSpacing"/>
      </w:pPr>
      <w:r w:rsidRPr="00BA49C3">
        <w:t>Access/increase education/prevention</w:t>
      </w:r>
    </w:p>
    <w:p w:rsidR="001670EC" w:rsidRPr="00BA49C3" w:rsidRDefault="001670EC" w:rsidP="009D402D">
      <w:pPr>
        <w:pStyle w:val="NoSpacing"/>
        <w:rPr>
          <w:u w:val="single"/>
        </w:rPr>
      </w:pPr>
    </w:p>
    <w:p w:rsidR="001670EC" w:rsidRPr="00BA49C3" w:rsidRDefault="001670EC" w:rsidP="009D402D">
      <w:pPr>
        <w:pStyle w:val="NoSpacing"/>
        <w:jc w:val="center"/>
        <w:rPr>
          <w:b/>
        </w:rPr>
      </w:pPr>
      <w:r w:rsidRPr="00BA49C3">
        <w:rPr>
          <w:b/>
          <w:u w:val="single"/>
        </w:rPr>
        <w:t>HIV/STD/Vaccine Group 4</w:t>
      </w:r>
    </w:p>
    <w:p w:rsidR="001670EC" w:rsidRPr="00BA49C3" w:rsidRDefault="001670EC" w:rsidP="009D402D">
      <w:pPr>
        <w:pStyle w:val="NoSpacing"/>
        <w:rPr>
          <w:u w:val="single"/>
        </w:rPr>
      </w:pPr>
      <w:r w:rsidRPr="00BA49C3">
        <w:rPr>
          <w:u w:val="single"/>
        </w:rPr>
        <w:t>Info Accuracy:</w:t>
      </w:r>
    </w:p>
    <w:p w:rsidR="001670EC" w:rsidRPr="00BA49C3" w:rsidRDefault="001670EC" w:rsidP="009D402D">
      <w:pPr>
        <w:pStyle w:val="NoSpacing"/>
      </w:pPr>
      <w:r w:rsidRPr="00BA49C3">
        <w:t>1. High rate of syringe disposal – Palmers</w:t>
      </w:r>
    </w:p>
    <w:p w:rsidR="001670EC" w:rsidRPr="00BA49C3" w:rsidRDefault="001670EC" w:rsidP="009D402D">
      <w:pPr>
        <w:pStyle w:val="NoSpacing"/>
      </w:pPr>
      <w:r w:rsidRPr="00BA49C3">
        <w:t>2. High teen pregnancy – high risk of HIV/STDs</w:t>
      </w:r>
    </w:p>
    <w:p w:rsidR="001670EC" w:rsidRPr="00BA49C3" w:rsidRDefault="001670EC" w:rsidP="009D402D">
      <w:pPr>
        <w:pStyle w:val="NoSpacing"/>
      </w:pPr>
      <w:r w:rsidRPr="00BA49C3">
        <w:t>3. 50% of Centro Civico survey respondents stated that they can’t get HIV from sexual encounter - lack of HIV education</w:t>
      </w:r>
    </w:p>
    <w:p w:rsidR="001670EC" w:rsidRPr="00BA49C3" w:rsidRDefault="001670EC" w:rsidP="009D402D">
      <w:pPr>
        <w:pStyle w:val="NoSpacing"/>
      </w:pPr>
      <w:r w:rsidRPr="00BA49C3">
        <w:t>4. Low perception of risk – inmates @ correctional facility</w:t>
      </w:r>
    </w:p>
    <w:p w:rsidR="001670EC" w:rsidRPr="00BA49C3" w:rsidRDefault="001670EC" w:rsidP="009D402D">
      <w:pPr>
        <w:pStyle w:val="NoSpacing"/>
      </w:pPr>
      <w:r w:rsidRPr="00BA49C3">
        <w:t>5. High volume of NYC transplants – local jail, entering community, increased risk</w:t>
      </w:r>
    </w:p>
    <w:p w:rsidR="001670EC" w:rsidRPr="00BA49C3" w:rsidRDefault="001670EC" w:rsidP="009D402D">
      <w:pPr>
        <w:pStyle w:val="NoSpacing"/>
      </w:pPr>
      <w:r w:rsidRPr="00BA49C3">
        <w:t>6. Perception that HIV infection may be desirable – treatable and involves the receipt of benefits</w:t>
      </w:r>
    </w:p>
    <w:p w:rsidR="001670EC" w:rsidRPr="00BA49C3" w:rsidRDefault="001670EC" w:rsidP="009D402D">
      <w:pPr>
        <w:pStyle w:val="NoSpacing"/>
      </w:pPr>
      <w:r w:rsidRPr="00BA49C3">
        <w:t>7. Project SMART – syringe exchange program states high IV drug use in area, not using either ESAP program, higher risk may not be represented in data</w:t>
      </w:r>
    </w:p>
    <w:p w:rsidR="001670EC" w:rsidRPr="00BA49C3" w:rsidRDefault="001670EC" w:rsidP="009D402D">
      <w:pPr>
        <w:pStyle w:val="NoSpacing"/>
      </w:pPr>
      <w:r w:rsidRPr="00BA49C3">
        <w:t>8. Lack of transportation – don’t access healthcare</w:t>
      </w:r>
    </w:p>
    <w:p w:rsidR="001670EC" w:rsidRPr="00BA49C3" w:rsidRDefault="001670EC" w:rsidP="009D402D">
      <w:pPr>
        <w:pStyle w:val="NoSpacing"/>
      </w:pPr>
      <w:r w:rsidRPr="00BA49C3">
        <w:t>9. Do not believe MDs are adhering to required HIV offer- low #’s primary care physicians</w:t>
      </w:r>
    </w:p>
    <w:p w:rsidR="001670EC" w:rsidRPr="00BA49C3" w:rsidRDefault="001670EC" w:rsidP="009D402D">
      <w:pPr>
        <w:pStyle w:val="NoSpacing"/>
      </w:pPr>
      <w:r w:rsidRPr="00BA49C3">
        <w:t>10. Centro Civico – survey MDs as #1 source for info – but don ‘t get HIV info from their MD’s– may be reflected as this is a low risk/priority – more likely to talk about diet/exercise</w:t>
      </w:r>
    </w:p>
    <w:p w:rsidR="001670EC" w:rsidRPr="00BA49C3" w:rsidRDefault="001670EC" w:rsidP="009D402D">
      <w:pPr>
        <w:pStyle w:val="NoSpacing"/>
      </w:pPr>
      <w:r w:rsidRPr="00BA49C3">
        <w:t>11. Immunization rates are a reflection of the computer program used to assess rates.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Going Well</w:t>
      </w:r>
    </w:p>
    <w:p w:rsidR="001670EC" w:rsidRPr="00BA49C3" w:rsidRDefault="001670EC" w:rsidP="009D402D">
      <w:pPr>
        <w:pStyle w:val="NoSpacing"/>
        <w:numPr>
          <w:ilvl w:val="0"/>
          <w:numId w:val="28"/>
        </w:numPr>
      </w:pPr>
      <w:r w:rsidRPr="00BA49C3">
        <w:t>Access to free HIV testing – low cost or free STD – especially Planned Parenthood</w:t>
      </w:r>
    </w:p>
    <w:p w:rsidR="001670EC" w:rsidRPr="00BA49C3" w:rsidRDefault="001670EC" w:rsidP="009D402D">
      <w:pPr>
        <w:pStyle w:val="NoSpacing"/>
        <w:numPr>
          <w:ilvl w:val="0"/>
          <w:numId w:val="28"/>
        </w:numPr>
      </w:pPr>
      <w:r w:rsidRPr="00BA49C3">
        <w:t>Rate of HPV is good for our area</w:t>
      </w:r>
    </w:p>
    <w:p w:rsidR="001670EC" w:rsidRPr="00BA49C3" w:rsidRDefault="001670EC" w:rsidP="009D402D">
      <w:pPr>
        <w:pStyle w:val="NoSpacing"/>
        <w:numPr>
          <w:ilvl w:val="0"/>
          <w:numId w:val="28"/>
        </w:numPr>
      </w:pPr>
      <w:r w:rsidRPr="00BA49C3">
        <w:t>Few children do not have a medical home</w:t>
      </w:r>
    </w:p>
    <w:p w:rsidR="001670EC" w:rsidRPr="00BA49C3" w:rsidRDefault="001670EC" w:rsidP="009D402D">
      <w:pPr>
        <w:pStyle w:val="NoSpacing"/>
        <w:numPr>
          <w:ilvl w:val="0"/>
          <w:numId w:val="28"/>
        </w:numPr>
      </w:pPr>
      <w:r w:rsidRPr="00BA49C3">
        <w:t>Few immunization exemptions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Programs</w:t>
      </w:r>
    </w:p>
    <w:p w:rsidR="001670EC" w:rsidRPr="00BA49C3" w:rsidRDefault="001670EC" w:rsidP="009D402D">
      <w:pPr>
        <w:pStyle w:val="NoSpacing"/>
        <w:numPr>
          <w:ilvl w:val="0"/>
          <w:numId w:val="29"/>
        </w:numPr>
      </w:pPr>
      <w:r w:rsidRPr="00BA49C3">
        <w:t>Are in place. People have to access</w:t>
      </w:r>
    </w:p>
    <w:p w:rsidR="001670EC" w:rsidRPr="00BA49C3" w:rsidRDefault="001670EC" w:rsidP="009D402D">
      <w:pPr>
        <w:pStyle w:val="NoSpacing"/>
        <w:numPr>
          <w:ilvl w:val="0"/>
          <w:numId w:val="29"/>
        </w:numPr>
      </w:pPr>
      <w:r w:rsidRPr="00BA49C3">
        <w:t>Centro is creating a newsletter to facilitate communication of preventable disease</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Challenges</w:t>
      </w:r>
    </w:p>
    <w:p w:rsidR="001670EC" w:rsidRPr="00BA49C3" w:rsidRDefault="001670EC" w:rsidP="009D402D">
      <w:pPr>
        <w:pStyle w:val="NoSpacing"/>
        <w:numPr>
          <w:ilvl w:val="0"/>
          <w:numId w:val="30"/>
        </w:numPr>
      </w:pPr>
      <w:r w:rsidRPr="00BA49C3">
        <w:t>Education both consumers and medical staff. Staff needs more support in order to better educate.</w:t>
      </w:r>
    </w:p>
    <w:p w:rsidR="001670EC" w:rsidRPr="00BA49C3" w:rsidRDefault="001670EC" w:rsidP="009D402D">
      <w:pPr>
        <w:pStyle w:val="NoSpacing"/>
        <w:numPr>
          <w:ilvl w:val="0"/>
          <w:numId w:val="30"/>
        </w:numPr>
      </w:pPr>
      <w:r w:rsidRPr="00BA49C3">
        <w:t>Social media</w:t>
      </w:r>
    </w:p>
    <w:p w:rsidR="001670EC" w:rsidRPr="00BA49C3" w:rsidRDefault="001670EC" w:rsidP="009D402D">
      <w:pPr>
        <w:pStyle w:val="NoSpacing"/>
        <w:numPr>
          <w:ilvl w:val="0"/>
          <w:numId w:val="30"/>
        </w:numPr>
      </w:pPr>
      <w:r w:rsidRPr="00BA49C3">
        <w:t xml:space="preserve">Poverty – unemployment almost 10% </w:t>
      </w:r>
    </w:p>
    <w:p w:rsidR="001670EC" w:rsidRPr="00BA49C3" w:rsidRDefault="001670EC" w:rsidP="009D402D">
      <w:pPr>
        <w:pStyle w:val="NoSpacing"/>
        <w:numPr>
          <w:ilvl w:val="0"/>
          <w:numId w:val="30"/>
        </w:numPr>
      </w:pPr>
      <w:r w:rsidRPr="00BA49C3">
        <w:t>Drug trafficking – emerging</w:t>
      </w:r>
    </w:p>
    <w:p w:rsidR="001670EC" w:rsidRPr="00BA49C3" w:rsidRDefault="001670EC" w:rsidP="009D402D">
      <w:pPr>
        <w:pStyle w:val="NoSpacing"/>
        <w:numPr>
          <w:ilvl w:val="0"/>
          <w:numId w:val="30"/>
        </w:numPr>
      </w:pPr>
      <w:r w:rsidRPr="00BA49C3">
        <w:t>Pregnancy is a problem among teens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TOP PRIORITY</w:t>
      </w:r>
    </w:p>
    <w:p w:rsidR="001670EC" w:rsidRPr="00BA49C3" w:rsidRDefault="001670EC" w:rsidP="009D402D">
      <w:pPr>
        <w:pStyle w:val="NoSpacing"/>
      </w:pPr>
      <w:r w:rsidRPr="00BA49C3">
        <w:t>Prevention education</w:t>
      </w:r>
    </w:p>
    <w:p w:rsidR="001670EC" w:rsidRPr="00BA49C3" w:rsidRDefault="001670EC" w:rsidP="009D402D">
      <w:pPr>
        <w:pStyle w:val="NoSpacing"/>
      </w:pPr>
      <w:r w:rsidRPr="00BA49C3">
        <w:t>Healthy alternatives that are desirable and affordable</w:t>
      </w:r>
    </w:p>
    <w:p w:rsidR="001670EC" w:rsidRPr="0073402F" w:rsidRDefault="001670EC" w:rsidP="009D402D">
      <w:pPr>
        <w:pStyle w:val="NoSpacing"/>
        <w:rPr>
          <w:b/>
          <w:u w:val="single"/>
        </w:rPr>
      </w:pPr>
    </w:p>
    <w:p w:rsidR="001670EC" w:rsidRPr="0073402F" w:rsidRDefault="001670EC" w:rsidP="009D402D">
      <w:pPr>
        <w:pStyle w:val="NoSpacing"/>
        <w:rPr>
          <w:b/>
          <w:u w:val="single"/>
        </w:rPr>
      </w:pPr>
    </w:p>
    <w:p w:rsidR="001670EC" w:rsidRPr="00BA49C3" w:rsidRDefault="001670EC" w:rsidP="009D402D">
      <w:pPr>
        <w:pStyle w:val="NoSpacing"/>
        <w:rPr>
          <w:u w:val="single"/>
        </w:rPr>
      </w:pPr>
    </w:p>
    <w:p w:rsidR="001670EC" w:rsidRPr="00BA49C3" w:rsidRDefault="001670EC" w:rsidP="009D402D">
      <w:pPr>
        <w:pStyle w:val="NoSpacing"/>
        <w:jc w:val="center"/>
        <w:rPr>
          <w:b/>
          <w:u w:val="single"/>
        </w:rPr>
      </w:pPr>
      <w:r w:rsidRPr="00BA49C3">
        <w:rPr>
          <w:b/>
          <w:u w:val="single"/>
        </w:rPr>
        <w:t>Mental Health/Substance Abuse Group 5</w:t>
      </w:r>
    </w:p>
    <w:p w:rsidR="001670EC" w:rsidRPr="00BA49C3" w:rsidRDefault="001670EC" w:rsidP="009D402D">
      <w:pPr>
        <w:pStyle w:val="NoSpacing"/>
      </w:pPr>
      <w:r w:rsidRPr="00BA49C3">
        <w:t>Emerging Trends:</w:t>
      </w:r>
    </w:p>
    <w:p w:rsidR="001670EC" w:rsidRPr="00BA49C3" w:rsidRDefault="001670EC" w:rsidP="009D402D">
      <w:pPr>
        <w:pStyle w:val="NoSpacing"/>
      </w:pPr>
      <w:r w:rsidRPr="00BA49C3">
        <w:t>Few nurse practitioner/psych programs</w:t>
      </w:r>
    </w:p>
    <w:p w:rsidR="001670EC" w:rsidRPr="00BA49C3" w:rsidRDefault="003D1A5F" w:rsidP="009D402D">
      <w:pPr>
        <w:pStyle w:val="NoSpacing"/>
      </w:pPr>
      <w:r>
        <w:rPr>
          <w:noProof/>
        </w:rPr>
        <w:pict>
          <v:shape id="_x0000_s1101" type="#_x0000_t202" style="position:absolute;margin-left:218.55pt;margin-top:29.6pt;width:37.45pt;height:25.7pt;z-index:251674624">
            <v:textbox>
              <w:txbxContent>
                <w:p w:rsidR="00CF7937" w:rsidRDefault="00CF7937" w:rsidP="00CF7937">
                  <w:r>
                    <w:t>XXII</w:t>
                  </w:r>
                </w:p>
              </w:txbxContent>
            </v:textbox>
          </v:shape>
        </w:pict>
      </w:r>
      <w:r w:rsidR="001670EC" w:rsidRPr="00BA49C3">
        <w:t>Difficult recruitment process</w:t>
      </w:r>
    </w:p>
    <w:p w:rsidR="001670EC" w:rsidRPr="00BA49C3" w:rsidRDefault="001670EC" w:rsidP="009D402D">
      <w:pPr>
        <w:pStyle w:val="NoSpacing"/>
      </w:pPr>
      <w:r w:rsidRPr="00BA49C3">
        <w:t>Stigma – Mental Health/Substance Abuse</w:t>
      </w:r>
    </w:p>
    <w:p w:rsidR="001670EC" w:rsidRPr="00BA49C3" w:rsidRDefault="001670EC" w:rsidP="009D402D">
      <w:pPr>
        <w:pStyle w:val="NoSpacing"/>
      </w:pPr>
      <w:r w:rsidRPr="00BA49C3">
        <w:t>Address bullying symptoms, but not MH issues</w:t>
      </w:r>
    </w:p>
    <w:p w:rsidR="001670EC" w:rsidRPr="00BA49C3" w:rsidRDefault="001670EC" w:rsidP="009D402D">
      <w:pPr>
        <w:pStyle w:val="NoSpacing"/>
      </w:pPr>
      <w:r w:rsidRPr="00BA49C3">
        <w:t>Increase in violence – murders increased</w:t>
      </w:r>
    </w:p>
    <w:p w:rsidR="001670EC" w:rsidRPr="00BA49C3" w:rsidRDefault="001670EC" w:rsidP="009D402D">
      <w:pPr>
        <w:pStyle w:val="NoSpacing"/>
      </w:pPr>
      <w:r w:rsidRPr="00BA49C3">
        <w:t>Unemployment/underemployed, low insurance leads to poor behavioral health</w:t>
      </w:r>
    </w:p>
    <w:p w:rsidR="001670EC" w:rsidRPr="00BA49C3" w:rsidRDefault="001670EC" w:rsidP="009D402D">
      <w:pPr>
        <w:pStyle w:val="NoSpacing"/>
      </w:pPr>
    </w:p>
    <w:p w:rsidR="001670EC" w:rsidRPr="00BA49C3" w:rsidRDefault="001670EC" w:rsidP="009D402D">
      <w:pPr>
        <w:pStyle w:val="NoSpacing"/>
      </w:pPr>
      <w:r w:rsidRPr="00BA49C3">
        <w:t>Suicide rate high in NYS:</w:t>
      </w:r>
    </w:p>
    <w:p w:rsidR="001670EC" w:rsidRPr="00BA49C3" w:rsidRDefault="001670EC" w:rsidP="009D402D">
      <w:pPr>
        <w:pStyle w:val="NoSpacing"/>
      </w:pPr>
      <w:r w:rsidRPr="00BA49C3">
        <w:t>Isolation</w:t>
      </w:r>
    </w:p>
    <w:p w:rsidR="001670EC" w:rsidRPr="00BA49C3" w:rsidRDefault="001670EC" w:rsidP="009D402D">
      <w:pPr>
        <w:pStyle w:val="NoSpacing"/>
      </w:pPr>
      <w:r w:rsidRPr="00BA49C3">
        <w:t>Guns</w:t>
      </w:r>
    </w:p>
    <w:p w:rsidR="001670EC" w:rsidRPr="00BA49C3" w:rsidRDefault="001670EC" w:rsidP="009D402D">
      <w:pPr>
        <w:pStyle w:val="NoSpacing"/>
      </w:pPr>
      <w:r w:rsidRPr="00BA49C3">
        <w:t>FMSP Task Force</w:t>
      </w:r>
    </w:p>
    <w:p w:rsidR="001670EC" w:rsidRPr="00BA49C3" w:rsidRDefault="001670EC" w:rsidP="009D402D">
      <w:pPr>
        <w:pStyle w:val="NoSpacing"/>
      </w:pPr>
      <w:r w:rsidRPr="00BA49C3">
        <w:t>Underreported</w:t>
      </w:r>
    </w:p>
    <w:p w:rsidR="001670EC" w:rsidRPr="00BA49C3" w:rsidRDefault="001670EC" w:rsidP="009D402D">
      <w:pPr>
        <w:pStyle w:val="NoSpacing"/>
      </w:pPr>
      <w:r w:rsidRPr="00BA49C3">
        <w:t>Related to SA, poverty, unemployment, MH</w:t>
      </w:r>
    </w:p>
    <w:p w:rsidR="001670EC" w:rsidRPr="00BA49C3" w:rsidRDefault="001670EC" w:rsidP="009D402D">
      <w:pPr>
        <w:pStyle w:val="NoSpacing"/>
      </w:pPr>
    </w:p>
    <w:p w:rsidR="001670EC" w:rsidRPr="00BA49C3" w:rsidRDefault="001670EC" w:rsidP="009D402D">
      <w:pPr>
        <w:pStyle w:val="NoSpacing"/>
      </w:pPr>
      <w:r w:rsidRPr="00BA49C3">
        <w:t>Alcohol related crashes</w:t>
      </w:r>
    </w:p>
    <w:p w:rsidR="001670EC" w:rsidRPr="00BA49C3" w:rsidRDefault="001670EC" w:rsidP="009D402D">
      <w:pPr>
        <w:pStyle w:val="NoSpacing"/>
        <w:numPr>
          <w:ilvl w:val="0"/>
          <w:numId w:val="31"/>
        </w:numPr>
      </w:pPr>
      <w:r w:rsidRPr="00BA49C3">
        <w:t>Look at time of bar closings</w:t>
      </w:r>
    </w:p>
    <w:p w:rsidR="001670EC" w:rsidRPr="00BA49C3" w:rsidRDefault="001670EC" w:rsidP="009D402D">
      <w:pPr>
        <w:pStyle w:val="NoSpacing"/>
        <w:numPr>
          <w:ilvl w:val="0"/>
          <w:numId w:val="31"/>
        </w:numPr>
      </w:pPr>
      <w:r w:rsidRPr="00BA49C3">
        <w:t>Passing through county</w:t>
      </w:r>
    </w:p>
    <w:p w:rsidR="001670EC" w:rsidRPr="00BA49C3" w:rsidRDefault="001670EC" w:rsidP="009D402D">
      <w:pPr>
        <w:pStyle w:val="NoSpacing"/>
        <w:numPr>
          <w:ilvl w:val="0"/>
          <w:numId w:val="31"/>
        </w:numPr>
      </w:pPr>
      <w:r w:rsidRPr="00BA49C3">
        <w:t xml:space="preserve"> Need seasonal data</w:t>
      </w:r>
    </w:p>
    <w:p w:rsidR="001670EC" w:rsidRPr="00BA49C3" w:rsidRDefault="001670EC" w:rsidP="009D402D">
      <w:pPr>
        <w:pStyle w:val="NoSpacing"/>
      </w:pPr>
    </w:p>
    <w:p w:rsidR="001670EC" w:rsidRPr="00BA49C3" w:rsidRDefault="001670EC" w:rsidP="009D402D">
      <w:pPr>
        <w:pStyle w:val="NoSpacing"/>
      </w:pPr>
      <w:r w:rsidRPr="00BA49C3">
        <w:t>MH for 8 yrs. old and under – large # served</w:t>
      </w:r>
    </w:p>
    <w:p w:rsidR="001670EC" w:rsidRPr="00BA49C3" w:rsidRDefault="001670EC" w:rsidP="009D402D">
      <w:pPr>
        <w:pStyle w:val="NoSpacing"/>
      </w:pPr>
      <w:r w:rsidRPr="00BA49C3">
        <w:t>Good service</w:t>
      </w:r>
    </w:p>
    <w:p w:rsidR="001670EC" w:rsidRPr="00BA49C3" w:rsidRDefault="001670EC" w:rsidP="009D402D">
      <w:pPr>
        <w:pStyle w:val="NoSpacing"/>
      </w:pPr>
      <w:r w:rsidRPr="00BA49C3">
        <w:t>FCC satellites in schools – assessments, services, mobile crisis</w:t>
      </w:r>
    </w:p>
    <w:p w:rsidR="001670EC" w:rsidRPr="00BA49C3" w:rsidRDefault="001670EC" w:rsidP="009D402D">
      <w:pPr>
        <w:pStyle w:val="NoSpacing"/>
      </w:pPr>
    </w:p>
    <w:p w:rsidR="001670EC" w:rsidRPr="00BA49C3" w:rsidRDefault="001670EC" w:rsidP="009D402D">
      <w:pPr>
        <w:pStyle w:val="NoSpacing"/>
        <w:rPr>
          <w:u w:val="single"/>
        </w:rPr>
      </w:pPr>
      <w:r w:rsidRPr="00BA49C3">
        <w:rPr>
          <w:u w:val="single"/>
        </w:rPr>
        <w:t>Issues:</w:t>
      </w:r>
    </w:p>
    <w:p w:rsidR="001670EC" w:rsidRPr="00BA49C3" w:rsidRDefault="001670EC" w:rsidP="009D402D">
      <w:pPr>
        <w:pStyle w:val="NoSpacing"/>
      </w:pPr>
      <w:r w:rsidRPr="00BA49C3">
        <w:t>Poverty (generational)</w:t>
      </w:r>
    </w:p>
    <w:p w:rsidR="001670EC" w:rsidRPr="00BA49C3" w:rsidRDefault="001670EC" w:rsidP="009D402D">
      <w:pPr>
        <w:pStyle w:val="NoSpacing"/>
      </w:pPr>
      <w:r w:rsidRPr="00BA49C3">
        <w:t>Unemployment</w:t>
      </w:r>
    </w:p>
    <w:p w:rsidR="001670EC" w:rsidRPr="00BA49C3" w:rsidRDefault="001670EC" w:rsidP="009D402D">
      <w:pPr>
        <w:pStyle w:val="NoSpacing"/>
      </w:pPr>
      <w:r w:rsidRPr="00BA49C3">
        <w:t>SA</w:t>
      </w:r>
    </w:p>
    <w:p w:rsidR="001670EC" w:rsidRPr="00BA49C3" w:rsidRDefault="001670EC" w:rsidP="006807D1">
      <w:pPr>
        <w:pStyle w:val="NoSpacing"/>
      </w:pPr>
      <w:r w:rsidRPr="00BA49C3">
        <w:t>All of the above affect MH issues</w:t>
      </w:r>
    </w:p>
    <w:p w:rsidR="001670EC" w:rsidRPr="00BA49C3" w:rsidRDefault="001670EC" w:rsidP="009D402D">
      <w:pPr>
        <w:pStyle w:val="NoSpacing"/>
      </w:pPr>
    </w:p>
    <w:p w:rsidR="001670EC" w:rsidRPr="00BA49C3" w:rsidRDefault="001670EC" w:rsidP="009D402D">
      <w:pPr>
        <w:pStyle w:val="NoSpacing"/>
      </w:pPr>
      <w:r w:rsidRPr="00BA49C3">
        <w:t>Waiting list for Rx (MH)</w:t>
      </w:r>
    </w:p>
    <w:p w:rsidR="001670EC" w:rsidRPr="00BA49C3" w:rsidRDefault="001670EC" w:rsidP="009D402D">
      <w:pPr>
        <w:pStyle w:val="NoSpacing"/>
      </w:pPr>
      <w:r w:rsidRPr="00BA49C3">
        <w:t>Shortage of professionals</w:t>
      </w:r>
    </w:p>
    <w:p w:rsidR="001670EC" w:rsidRPr="00BA49C3" w:rsidRDefault="001670EC" w:rsidP="009D402D">
      <w:pPr>
        <w:pStyle w:val="NoSpacing"/>
      </w:pPr>
      <w:r w:rsidRPr="00BA49C3">
        <w:t>Population of residents leaving area (ages 21-29) has decreased – impact on behavioral health</w:t>
      </w:r>
    </w:p>
    <w:p w:rsidR="001670EC" w:rsidRPr="00BA49C3" w:rsidRDefault="001670EC" w:rsidP="009D402D">
      <w:pPr>
        <w:pStyle w:val="NoSpacing"/>
      </w:pPr>
      <w:r w:rsidRPr="00BA49C3">
        <w:t>Professionals drive in to work</w:t>
      </w:r>
    </w:p>
    <w:p w:rsidR="001670EC" w:rsidRPr="00BA49C3" w:rsidRDefault="001670EC" w:rsidP="009D402D">
      <w:pPr>
        <w:pStyle w:val="NoSpacing"/>
      </w:pPr>
      <w:r w:rsidRPr="00BA49C3">
        <w:t>Aging population increasing</w:t>
      </w:r>
    </w:p>
    <w:p w:rsidR="001670EC" w:rsidRPr="00BA49C3" w:rsidRDefault="001670EC" w:rsidP="009D402D">
      <w:pPr>
        <w:pStyle w:val="NoSpacing"/>
      </w:pPr>
      <w:r w:rsidRPr="00BA49C3">
        <w:t>5-14 age group decreasing</w:t>
      </w:r>
    </w:p>
    <w:p w:rsidR="001670EC" w:rsidRPr="00BA49C3" w:rsidRDefault="001670EC" w:rsidP="009D402D">
      <w:pPr>
        <w:pStyle w:val="NoSpacing"/>
      </w:pPr>
      <w:r w:rsidRPr="00BA49C3">
        <w:t>Can’t support school districts</w:t>
      </w:r>
    </w:p>
    <w:p w:rsidR="001670EC" w:rsidRPr="00BA49C3" w:rsidRDefault="001670EC" w:rsidP="009D402D">
      <w:pPr>
        <w:pStyle w:val="NoSpacing"/>
      </w:pPr>
      <w:r w:rsidRPr="00BA49C3">
        <w:t>Can’t pass drug test for employment</w:t>
      </w:r>
    </w:p>
    <w:p w:rsidR="001670EC" w:rsidRPr="00BA49C3" w:rsidRDefault="001670EC" w:rsidP="009D402D">
      <w:pPr>
        <w:pStyle w:val="NoSpacing"/>
      </w:pPr>
      <w:r w:rsidRPr="00BA49C3">
        <w:t>School districts and agencies work well together, need strategic planning –need action – need to move to greater community (include gov’t)</w:t>
      </w:r>
    </w:p>
    <w:p w:rsidR="001670EC" w:rsidRPr="00BA49C3" w:rsidRDefault="001670EC" w:rsidP="009D402D">
      <w:pPr>
        <w:pStyle w:val="NoSpacing"/>
      </w:pPr>
      <w:r w:rsidRPr="00BA49C3">
        <w:t>Include faith based community and greater community</w:t>
      </w:r>
    </w:p>
    <w:p w:rsidR="001670EC" w:rsidRDefault="003D1A5F" w:rsidP="006807D1">
      <w:pPr>
        <w:pStyle w:val="NoSpacing"/>
      </w:pPr>
      <w:r>
        <w:rPr>
          <w:noProof/>
        </w:rPr>
        <w:pict>
          <v:shape id="_x0000_s1102" type="#_x0000_t202" style="position:absolute;margin-left:217.7pt;margin-top:164.75pt;width:37.45pt;height:25.7pt;z-index:251675648">
            <v:textbox>
              <w:txbxContent>
                <w:p w:rsidR="00CF7937" w:rsidRDefault="00CF7937" w:rsidP="00CF7937">
                  <w:r>
                    <w:t>XXIII</w:t>
                  </w:r>
                </w:p>
              </w:txbxContent>
            </v:textbox>
          </v:shape>
        </w:pict>
      </w:r>
      <w:r w:rsidR="001670EC" w:rsidRPr="00BA49C3">
        <w:t>Expand cast of characters – SM and NL (St. Mary’s and Nathan Littauer)</w:t>
      </w:r>
    </w:p>
    <w:p w:rsidR="001670EC" w:rsidRDefault="003D1A5F" w:rsidP="006807D1">
      <w:pPr>
        <w:pStyle w:val="NoSpacing"/>
      </w:pPr>
      <w:r w:rsidRPr="003D1A5F">
        <w:rPr>
          <w:b/>
          <w:noProof/>
          <w:color w:val="FF0000"/>
          <w:sz w:val="28"/>
          <w:szCs w:val="28"/>
        </w:rPr>
        <w:pict>
          <v:shape id="_x0000_s1103" type="#_x0000_t202" style="position:absolute;margin-left:220.3pt;margin-top:676.7pt;width:37.45pt;height:25.7pt;z-index:251676672">
            <v:textbox>
              <w:txbxContent>
                <w:p w:rsidR="00CF7937" w:rsidRDefault="00CF7937" w:rsidP="00CF7937">
                  <w:r>
                    <w:t>XXIVII</w:t>
                  </w:r>
                </w:p>
              </w:txbxContent>
            </v:textbox>
          </v:shape>
        </w:pict>
      </w:r>
      <w:r w:rsidR="001670EC">
        <w:rPr>
          <w:b/>
          <w:color w:val="FF0000"/>
          <w:sz w:val="28"/>
          <w:szCs w:val="28"/>
        </w:rPr>
        <w:t>A</w:t>
      </w:r>
      <w:r w:rsidR="001670EC" w:rsidRPr="005E2A7B">
        <w:rPr>
          <w:b/>
          <w:color w:val="FF0000"/>
          <w:sz w:val="28"/>
          <w:szCs w:val="28"/>
        </w:rPr>
        <w:t xml:space="preserve">RHN Map </w:t>
      </w:r>
      <w:r w:rsidR="001670EC" w:rsidRPr="004A3378">
        <w:rPr>
          <w:b/>
          <w:color w:val="365F91"/>
          <w:sz w:val="32"/>
          <w:szCs w:val="32"/>
        </w:rPr>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59.15pt;height:270pt" o:ole="">
            <v:imagedata r:id="rId63" o:title=""/>
          </v:shape>
          <o:OLEObject Type="Embed" ProgID="PowerPoint.Slide.12" ShapeID="_x0000_i1067" DrawAspect="Content" ObjectID="_1446989128" r:id="rId64"/>
        </w:object>
      </w:r>
    </w:p>
    <w:p w:rsidR="001670EC" w:rsidRDefault="001670EC" w:rsidP="00B02FC7">
      <w:pPr>
        <w:pStyle w:val="Heading1"/>
      </w:pPr>
    </w:p>
    <w:p w:rsidR="001670EC" w:rsidRDefault="001670EC" w:rsidP="00B02FC7">
      <w:pPr>
        <w:pStyle w:val="Heading1"/>
      </w:pPr>
    </w:p>
    <w:p w:rsidR="001670EC" w:rsidRDefault="001670EC" w:rsidP="00B02FC7">
      <w:pPr>
        <w:pStyle w:val="Heading1"/>
      </w:pPr>
      <w:r>
        <w:t>Prioritization Process</w:t>
      </w:r>
    </w:p>
    <w:p w:rsidR="001670EC" w:rsidRDefault="001670EC" w:rsidP="0046078F">
      <w:pPr>
        <w:spacing w:before="480"/>
        <w:jc w:val="center"/>
        <w:rPr>
          <w:b/>
          <w:color w:val="FF0000"/>
          <w:sz w:val="28"/>
          <w:szCs w:val="28"/>
        </w:rPr>
      </w:pPr>
      <w:r w:rsidRPr="009741A7">
        <w:rPr>
          <w:b/>
          <w:color w:val="FF0000"/>
          <w:sz w:val="28"/>
          <w:szCs w:val="28"/>
        </w:rPr>
        <w:object w:dxaOrig="7188" w:dyaOrig="5402">
          <v:shape id="_x0000_i1068" type="#_x0000_t75" style="width:316.3pt;height:240.85pt" o:ole="">
            <v:imagedata r:id="rId65" o:title=""/>
          </v:shape>
          <o:OLEObject Type="Embed" ProgID="PowerPoint.Slide.12" ShapeID="_x0000_i1068" DrawAspect="Content" ObjectID="_1446989129" r:id="rId66"/>
        </w:object>
      </w:r>
    </w:p>
    <w:p w:rsidR="001670EC" w:rsidRDefault="003D1A5F" w:rsidP="00B02FC7">
      <w:pPr>
        <w:spacing w:before="480"/>
        <w:jc w:val="center"/>
        <w:rPr>
          <w:b/>
          <w:color w:val="FF0000"/>
          <w:sz w:val="28"/>
          <w:szCs w:val="28"/>
        </w:rPr>
      </w:pPr>
      <w:r>
        <w:rPr>
          <w:b/>
          <w:noProof/>
          <w:color w:val="FF0000"/>
          <w:sz w:val="28"/>
          <w:szCs w:val="28"/>
        </w:rPr>
        <w:pict>
          <v:shape id="_x0000_s1104" type="#_x0000_t202" style="position:absolute;left:0;text-align:left;margin-left:214.3pt;margin-top:295.7pt;width:37.45pt;height:25.7pt;z-index:251677696">
            <v:textbox>
              <w:txbxContent>
                <w:p w:rsidR="00CF7937" w:rsidRDefault="00CF7937" w:rsidP="00CF7937">
                  <w:r>
                    <w:t>XXV</w:t>
                  </w:r>
                </w:p>
              </w:txbxContent>
            </v:textbox>
          </v:shape>
        </w:pict>
      </w:r>
      <w:r w:rsidR="001670EC" w:rsidRPr="009741A7">
        <w:rPr>
          <w:b/>
          <w:color w:val="FF0000"/>
          <w:sz w:val="28"/>
          <w:szCs w:val="28"/>
        </w:rPr>
        <w:object w:dxaOrig="7188" w:dyaOrig="5402">
          <v:shape id="_x0000_i1069" type="#_x0000_t75" style="width:327.45pt;height:246pt" o:ole="">
            <v:imagedata r:id="rId67" o:title=""/>
          </v:shape>
          <o:OLEObject Type="Embed" ProgID="PowerPoint.Slide.12" ShapeID="_x0000_i1069" DrawAspect="Content" ObjectID="_1446989130" r:id="rId68"/>
        </w:object>
      </w:r>
    </w:p>
    <w:p w:rsidR="001670EC" w:rsidRDefault="001670EC" w:rsidP="0046078F">
      <w:pPr>
        <w:spacing w:before="480"/>
        <w:jc w:val="center"/>
        <w:rPr>
          <w:b/>
          <w:color w:val="FF0000"/>
          <w:sz w:val="28"/>
          <w:szCs w:val="28"/>
        </w:rPr>
      </w:pPr>
      <w:r w:rsidRPr="009741A7">
        <w:rPr>
          <w:b/>
          <w:color w:val="FF0000"/>
          <w:sz w:val="28"/>
          <w:szCs w:val="28"/>
        </w:rPr>
        <w:object w:dxaOrig="7188" w:dyaOrig="5402">
          <v:shape id="_x0000_i1070" type="#_x0000_t75" style="width:348.85pt;height:262.3pt" o:ole="">
            <v:imagedata r:id="rId69" o:title=""/>
          </v:shape>
          <o:OLEObject Type="Embed" ProgID="PowerPoint.Slide.12" ShapeID="_x0000_i1070" DrawAspect="Content" ObjectID="_1446989131" r:id="rId70"/>
        </w:object>
      </w:r>
    </w:p>
    <w:p w:rsidR="001670EC" w:rsidRDefault="003D1A5F" w:rsidP="0046078F">
      <w:pPr>
        <w:spacing w:before="480"/>
        <w:jc w:val="center"/>
        <w:rPr>
          <w:b/>
          <w:color w:val="FF0000"/>
          <w:sz w:val="28"/>
          <w:szCs w:val="28"/>
        </w:rPr>
      </w:pPr>
      <w:r>
        <w:rPr>
          <w:b/>
          <w:noProof/>
          <w:color w:val="FF0000"/>
          <w:sz w:val="28"/>
          <w:szCs w:val="28"/>
        </w:rPr>
        <w:pict>
          <v:shape id="_x0000_s1105" type="#_x0000_t202" style="position:absolute;left:0;text-align:left;margin-left:3in;margin-top:399.3pt;width:37.45pt;height:25.7pt;z-index:251678720">
            <v:textbox>
              <w:txbxContent>
                <w:p w:rsidR="00CF7937" w:rsidRDefault="00CF7937" w:rsidP="00CF7937">
                  <w:r>
                    <w:t>XXVI</w:t>
                  </w:r>
                </w:p>
              </w:txbxContent>
            </v:textbox>
          </v:shape>
        </w:pict>
      </w:r>
      <w:r w:rsidR="001670EC" w:rsidRPr="009741A7">
        <w:rPr>
          <w:b/>
          <w:color w:val="FF0000"/>
          <w:sz w:val="28"/>
          <w:szCs w:val="28"/>
        </w:rPr>
        <w:object w:dxaOrig="7188" w:dyaOrig="5402">
          <v:shape id="_x0000_i1071" type="#_x0000_t75" style="width:348.85pt;height:262.3pt" o:ole="">
            <v:imagedata r:id="rId71" o:title=""/>
          </v:shape>
          <o:OLEObject Type="Embed" ProgID="PowerPoint.Slide.12" ShapeID="_x0000_i1071" DrawAspect="Content" ObjectID="_1446989132" r:id="rId72"/>
        </w:object>
      </w:r>
    </w:p>
    <w:p w:rsidR="001670EC" w:rsidRDefault="001670EC" w:rsidP="00B02FC7">
      <w:pPr>
        <w:spacing w:before="480"/>
        <w:jc w:val="center"/>
        <w:rPr>
          <w:b/>
          <w:color w:val="FF0000"/>
          <w:sz w:val="28"/>
          <w:szCs w:val="28"/>
        </w:rPr>
      </w:pPr>
      <w:r w:rsidRPr="009741A7">
        <w:rPr>
          <w:b/>
          <w:color w:val="FF0000"/>
          <w:sz w:val="28"/>
          <w:szCs w:val="28"/>
        </w:rPr>
        <w:object w:dxaOrig="7188" w:dyaOrig="5402">
          <v:shape id="_x0000_i1072" type="#_x0000_t75" style="width:359.15pt;height:270pt" o:ole="">
            <v:imagedata r:id="rId73" o:title=""/>
          </v:shape>
          <o:OLEObject Type="Embed" ProgID="PowerPoint.Slide.12" ShapeID="_x0000_i1072" DrawAspect="Content" ObjectID="_1446989133" r:id="rId74"/>
        </w:object>
      </w:r>
    </w:p>
    <w:p w:rsidR="001670EC" w:rsidRDefault="003D1A5F" w:rsidP="0046078F">
      <w:pPr>
        <w:spacing w:before="480"/>
        <w:jc w:val="center"/>
        <w:rPr>
          <w:b/>
          <w:color w:val="FF0000"/>
          <w:sz w:val="28"/>
          <w:szCs w:val="28"/>
        </w:rPr>
      </w:pPr>
      <w:r>
        <w:rPr>
          <w:b/>
          <w:noProof/>
          <w:color w:val="FF0000"/>
          <w:sz w:val="28"/>
          <w:szCs w:val="28"/>
        </w:rPr>
        <w:pict>
          <v:shape id="_x0000_s1106" type="#_x0000_t202" style="position:absolute;left:0;text-align:left;margin-left:220.3pt;margin-top:394.05pt;width:41.15pt;height:25.7pt;z-index:251679744">
            <v:textbox>
              <w:txbxContent>
                <w:p w:rsidR="00CF7937" w:rsidRDefault="00CF7937" w:rsidP="00CF7937">
                  <w:r>
                    <w:t>XXVII</w:t>
                  </w:r>
                </w:p>
              </w:txbxContent>
            </v:textbox>
          </v:shape>
        </w:pict>
      </w:r>
      <w:r w:rsidR="001670EC" w:rsidRPr="0046078F">
        <w:rPr>
          <w:b/>
          <w:color w:val="FF0000"/>
          <w:sz w:val="28"/>
          <w:szCs w:val="28"/>
        </w:rPr>
        <w:object w:dxaOrig="7188" w:dyaOrig="5402">
          <v:shape id="_x0000_i1073" type="#_x0000_t75" style="width:359.15pt;height:270pt" o:ole="">
            <v:imagedata r:id="rId75" o:title=""/>
          </v:shape>
          <o:OLEObject Type="Embed" ProgID="PowerPoint.Slide.12" ShapeID="_x0000_i1073" DrawAspect="Content" ObjectID="_1446989134" r:id="rId76"/>
        </w:object>
      </w:r>
    </w:p>
    <w:p w:rsidR="001670EC" w:rsidRDefault="001670EC" w:rsidP="001164E7">
      <w:pPr>
        <w:spacing w:before="480"/>
        <w:rPr>
          <w:b/>
          <w:color w:val="17365D"/>
          <w:sz w:val="28"/>
          <w:szCs w:val="28"/>
        </w:rPr>
        <w:sectPr w:rsidR="001670EC" w:rsidSect="00CF7937">
          <w:headerReference w:type="even" r:id="rId77"/>
          <w:headerReference w:type="default" r:id="rId78"/>
          <w:footerReference w:type="default" r:id="rId79"/>
          <w:headerReference w:type="first" r:id="rId80"/>
          <w:pgSz w:w="12240" w:h="15840"/>
          <w:pgMar w:top="1260" w:right="1440" w:bottom="1260" w:left="1440" w:header="720" w:footer="720" w:gutter="0"/>
          <w:pgNumType w:fmt="upperRoman" w:start="3"/>
          <w:cols w:space="720"/>
          <w:docGrid w:linePitch="360"/>
        </w:sectPr>
      </w:pPr>
    </w:p>
    <w:p w:rsidR="001670EC" w:rsidRDefault="001670EC" w:rsidP="001D3697">
      <w:pPr>
        <w:spacing w:before="480"/>
        <w:jc w:val="center"/>
        <w:rPr>
          <w:sz w:val="28"/>
          <w:szCs w:val="28"/>
        </w:rPr>
      </w:pPr>
      <w:r>
        <w:rPr>
          <w:sz w:val="28"/>
          <w:szCs w:val="28"/>
        </w:rPr>
        <w:t xml:space="preserve">Other </w:t>
      </w:r>
      <w:r w:rsidRPr="001D3697">
        <w:rPr>
          <w:sz w:val="28"/>
          <w:szCs w:val="28"/>
        </w:rPr>
        <w:t>Data Sources</w:t>
      </w:r>
    </w:p>
    <w:p w:rsidR="001670EC" w:rsidRPr="00232522" w:rsidRDefault="001670EC" w:rsidP="00BE6374">
      <w:pPr>
        <w:spacing w:before="480"/>
      </w:pPr>
      <w:r w:rsidRPr="00232522">
        <w:t xml:space="preserve">Fulton County NY Tourism Website, 2013 </w:t>
      </w:r>
      <w:hyperlink r:id="rId81" w:history="1">
        <w:r w:rsidRPr="00232522">
          <w:rPr>
            <w:rStyle w:val="Hyperlink"/>
          </w:rPr>
          <w:t>http://44lakes.com/about</w:t>
        </w:r>
      </w:hyperlink>
    </w:p>
    <w:tbl>
      <w:tblPr>
        <w:tblW w:w="8686" w:type="dxa"/>
        <w:tblInd w:w="96" w:type="dxa"/>
        <w:tblLook w:val="00A0"/>
      </w:tblPr>
      <w:tblGrid>
        <w:gridCol w:w="222"/>
        <w:gridCol w:w="6224"/>
        <w:gridCol w:w="1260"/>
        <w:gridCol w:w="980"/>
      </w:tblGrid>
      <w:tr w:rsidR="001670EC" w:rsidRPr="00232522" w:rsidTr="000313F3">
        <w:trPr>
          <w:trHeight w:val="288"/>
        </w:trPr>
        <w:tc>
          <w:tcPr>
            <w:tcW w:w="6446" w:type="dxa"/>
            <w:gridSpan w:val="2"/>
            <w:tcBorders>
              <w:top w:val="nil"/>
              <w:left w:val="nil"/>
              <w:bottom w:val="nil"/>
              <w:right w:val="nil"/>
            </w:tcBorders>
            <w:noWrap/>
            <w:vAlign w:val="bottom"/>
          </w:tcPr>
          <w:p w:rsidR="001670EC" w:rsidRPr="00232522" w:rsidRDefault="001670EC" w:rsidP="001670D7">
            <w:pPr>
              <w:spacing w:after="0" w:line="240" w:lineRule="auto"/>
              <w:rPr>
                <w:color w:val="000000"/>
              </w:rPr>
            </w:pPr>
            <w:r w:rsidRPr="00232522">
              <w:rPr>
                <w:color w:val="000000"/>
              </w:rPr>
              <w:t xml:space="preserve">Sources: </w:t>
            </w:r>
          </w:p>
        </w:tc>
        <w:tc>
          <w:tcPr>
            <w:tcW w:w="1260"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c>
          <w:tcPr>
            <w:tcW w:w="980"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r>
      <w:tr w:rsidR="001670EC" w:rsidRPr="00232522" w:rsidTr="000313F3">
        <w:trPr>
          <w:trHeight w:val="288"/>
        </w:trPr>
        <w:tc>
          <w:tcPr>
            <w:tcW w:w="222"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c>
          <w:tcPr>
            <w:tcW w:w="6224" w:type="dxa"/>
            <w:tcBorders>
              <w:top w:val="nil"/>
              <w:left w:val="nil"/>
              <w:bottom w:val="nil"/>
              <w:right w:val="nil"/>
            </w:tcBorders>
            <w:noWrap/>
            <w:vAlign w:val="bottom"/>
          </w:tcPr>
          <w:p w:rsidR="001670EC" w:rsidRPr="00232522" w:rsidRDefault="001670EC" w:rsidP="001670D7">
            <w:pPr>
              <w:spacing w:after="0" w:line="240" w:lineRule="auto"/>
              <w:rPr>
                <w:color w:val="000000"/>
              </w:rPr>
            </w:pPr>
            <w:r w:rsidRPr="00232522">
              <w:rPr>
                <w:color w:val="000000"/>
              </w:rPr>
              <w:t>Employment Sector: American Community Survey, 2009 - 2011</w:t>
            </w:r>
          </w:p>
        </w:tc>
        <w:tc>
          <w:tcPr>
            <w:tcW w:w="1260"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c>
          <w:tcPr>
            <w:tcW w:w="980"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r>
      <w:tr w:rsidR="001670EC" w:rsidRPr="00232522" w:rsidTr="000313F3">
        <w:trPr>
          <w:trHeight w:val="288"/>
        </w:trPr>
        <w:tc>
          <w:tcPr>
            <w:tcW w:w="222"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c>
          <w:tcPr>
            <w:tcW w:w="8464" w:type="dxa"/>
            <w:gridSpan w:val="3"/>
            <w:tcBorders>
              <w:top w:val="nil"/>
              <w:left w:val="nil"/>
              <w:bottom w:val="nil"/>
              <w:right w:val="nil"/>
            </w:tcBorders>
            <w:noWrap/>
            <w:vAlign w:val="bottom"/>
          </w:tcPr>
          <w:p w:rsidR="001670EC" w:rsidRPr="00232522" w:rsidRDefault="001670EC" w:rsidP="001670D7">
            <w:pPr>
              <w:spacing w:after="0" w:line="240" w:lineRule="auto"/>
              <w:rPr>
                <w:color w:val="000000"/>
              </w:rPr>
            </w:pPr>
            <w:r w:rsidRPr="00232522">
              <w:rPr>
                <w:color w:val="000000"/>
              </w:rPr>
              <w:t>Unemployment Rate: Bureau of Labor Statistics, Local Area Unemployment Statistics, 2011</w:t>
            </w:r>
          </w:p>
        </w:tc>
      </w:tr>
      <w:tr w:rsidR="001670EC" w:rsidRPr="00232522" w:rsidTr="000313F3">
        <w:trPr>
          <w:trHeight w:val="288"/>
        </w:trPr>
        <w:tc>
          <w:tcPr>
            <w:tcW w:w="222"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c>
          <w:tcPr>
            <w:tcW w:w="6224" w:type="dxa"/>
            <w:tcBorders>
              <w:top w:val="nil"/>
              <w:left w:val="nil"/>
              <w:bottom w:val="nil"/>
              <w:right w:val="nil"/>
            </w:tcBorders>
            <w:noWrap/>
            <w:vAlign w:val="bottom"/>
          </w:tcPr>
          <w:p w:rsidR="001670EC" w:rsidRPr="00232522" w:rsidRDefault="001670EC" w:rsidP="001670D7">
            <w:pPr>
              <w:spacing w:after="0" w:line="240" w:lineRule="auto"/>
              <w:rPr>
                <w:color w:val="000000"/>
              </w:rPr>
            </w:pPr>
            <w:r w:rsidRPr="00232522">
              <w:rPr>
                <w:color w:val="000000"/>
              </w:rPr>
              <w:t>Medicaid Data: New York State Department of Health, 2011</w:t>
            </w:r>
          </w:p>
        </w:tc>
        <w:tc>
          <w:tcPr>
            <w:tcW w:w="1260"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c>
          <w:tcPr>
            <w:tcW w:w="980" w:type="dxa"/>
            <w:tcBorders>
              <w:top w:val="nil"/>
              <w:left w:val="nil"/>
              <w:bottom w:val="nil"/>
              <w:right w:val="nil"/>
            </w:tcBorders>
            <w:noWrap/>
            <w:vAlign w:val="bottom"/>
          </w:tcPr>
          <w:p w:rsidR="001670EC" w:rsidRPr="00232522" w:rsidRDefault="001670EC" w:rsidP="001670D7">
            <w:pPr>
              <w:spacing w:after="0" w:line="240" w:lineRule="auto"/>
              <w:rPr>
                <w:color w:val="000000"/>
              </w:rPr>
            </w:pPr>
          </w:p>
        </w:tc>
      </w:tr>
    </w:tbl>
    <w:p w:rsidR="001670EC" w:rsidRDefault="003D1A5F" w:rsidP="00BE6374">
      <w:pPr>
        <w:spacing w:before="480"/>
      </w:pPr>
      <w:r>
        <w:rPr>
          <w:noProof/>
        </w:rPr>
        <w:pict>
          <v:shape id="_x0000_s1107" type="#_x0000_t202" style="position:absolute;margin-left:311.6pt;margin-top:343.6pt;width:44.3pt;height:25.7pt;z-index:251680768;mso-position-horizontal-relative:text;mso-position-vertical-relative:text">
            <v:textbox>
              <w:txbxContent>
                <w:p w:rsidR="00CF7937" w:rsidRDefault="00CF7937" w:rsidP="00CF7937">
                  <w:r>
                    <w:t>XXVIII</w:t>
                  </w:r>
                </w:p>
              </w:txbxContent>
            </v:textbox>
          </v:shape>
        </w:pict>
      </w:r>
    </w:p>
    <w:p w:rsidR="001670EC" w:rsidRDefault="003D1A5F" w:rsidP="00BE6374">
      <w:pPr>
        <w:spacing w:before="480"/>
      </w:pPr>
      <w:r>
        <w:rPr>
          <w:noProof/>
        </w:rPr>
        <w:pict>
          <v:shape id="_x0000_s1108" type="#_x0000_t202" style="position:absolute;margin-left:317.55pt;margin-top:483.45pt;width:37.45pt;height:25.7pt;z-index:251681792">
            <v:textbox>
              <w:txbxContent>
                <w:p w:rsidR="00CF7937" w:rsidRDefault="00CF7937" w:rsidP="00CF7937">
                  <w:r>
                    <w:t>XXIXI</w:t>
                  </w:r>
                </w:p>
              </w:txbxContent>
            </v:textbox>
          </v:shape>
        </w:pict>
      </w:r>
      <w:r w:rsidR="00B240D8">
        <w:rPr>
          <w:noProof/>
        </w:rPr>
        <w:drawing>
          <wp:inline distT="0" distB="0" distL="0" distR="0">
            <wp:extent cx="7652385" cy="5911215"/>
            <wp:effectExtent l="1905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srcRect/>
                    <a:stretch>
                      <a:fillRect/>
                    </a:stretch>
                  </pic:blipFill>
                  <pic:spPr bwMode="auto">
                    <a:xfrm>
                      <a:off x="0" y="0"/>
                      <a:ext cx="7652385" cy="5911215"/>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09" type="#_x0000_t202" style="position:absolute;margin-left:314.3pt;margin-top:485.15pt;width:37.45pt;height:25.7pt;z-index:251682816">
            <v:textbox>
              <w:txbxContent>
                <w:p w:rsidR="00CF7937" w:rsidRDefault="00CF7937" w:rsidP="00CF7937">
                  <w:r>
                    <w:t>XXXX</w:t>
                  </w:r>
                </w:p>
              </w:txbxContent>
            </v:textbox>
          </v:shape>
        </w:pict>
      </w:r>
      <w:r w:rsidR="00B240D8">
        <w:rPr>
          <w:noProof/>
        </w:rPr>
        <w:drawing>
          <wp:inline distT="0" distB="0" distL="0" distR="0">
            <wp:extent cx="7576185" cy="5845810"/>
            <wp:effectExtent l="1905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7576185" cy="5845810"/>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0" type="#_x0000_t202" style="position:absolute;margin-left:314.3pt;margin-top:483.45pt;width:37.45pt;height:25.7pt;z-index:251683840">
            <v:textbox>
              <w:txbxContent>
                <w:p w:rsidR="00CF7937" w:rsidRDefault="00CF7937" w:rsidP="00CF7937">
                  <w:r>
                    <w:t>XXXI</w:t>
                  </w:r>
                </w:p>
              </w:txbxContent>
            </v:textbox>
          </v:shape>
        </w:pict>
      </w:r>
      <w:r w:rsidR="00B240D8">
        <w:rPr>
          <w:noProof/>
        </w:rPr>
        <w:drawing>
          <wp:inline distT="0" distB="0" distL="0" distR="0">
            <wp:extent cx="7576185" cy="5943600"/>
            <wp:effectExtent l="1905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7576185" cy="5943600"/>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1" type="#_x0000_t202" style="position:absolute;margin-left:314.3pt;margin-top:485.15pt;width:44.3pt;height:25.7pt;z-index:251684864">
            <v:textbox>
              <w:txbxContent>
                <w:p w:rsidR="00CF7937" w:rsidRDefault="00CF7937" w:rsidP="00CF7937">
                  <w:r>
                    <w:t>XXXII</w:t>
                  </w:r>
                </w:p>
              </w:txbxContent>
            </v:textbox>
          </v:shape>
        </w:pict>
      </w:r>
      <w:r w:rsidR="00B240D8">
        <w:rPr>
          <w:noProof/>
        </w:rPr>
        <w:drawing>
          <wp:inline distT="0" distB="0" distL="0" distR="0">
            <wp:extent cx="7706995" cy="5911215"/>
            <wp:effectExtent l="1905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a:stretch>
                      <a:fillRect/>
                    </a:stretch>
                  </pic:blipFill>
                  <pic:spPr bwMode="auto">
                    <a:xfrm>
                      <a:off x="0" y="0"/>
                      <a:ext cx="7706995" cy="5911215"/>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2" type="#_x0000_t202" style="position:absolute;margin-left:314.3pt;margin-top:486.85pt;width:42.6pt;height:25.7pt;z-index:251685888">
            <v:textbox>
              <w:txbxContent>
                <w:p w:rsidR="00CF7937" w:rsidRDefault="00CF7937" w:rsidP="00CF7937">
                  <w:r>
                    <w:t>XXXIII</w:t>
                  </w:r>
                </w:p>
              </w:txbxContent>
            </v:textbox>
          </v:shape>
        </w:pict>
      </w:r>
      <w:r w:rsidR="00B240D8">
        <w:rPr>
          <w:noProof/>
        </w:rPr>
        <w:drawing>
          <wp:inline distT="0" distB="0" distL="0" distR="0">
            <wp:extent cx="7630795" cy="5899785"/>
            <wp:effectExtent l="1905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a:stretch>
                      <a:fillRect/>
                    </a:stretch>
                  </pic:blipFill>
                  <pic:spPr bwMode="auto">
                    <a:xfrm>
                      <a:off x="0" y="0"/>
                      <a:ext cx="7630795" cy="5899785"/>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3" type="#_x0000_t202" style="position:absolute;margin-left:311.55pt;margin-top:480.85pt;width:46.3pt;height:25.7pt;z-index:251686912">
            <v:textbox>
              <w:txbxContent>
                <w:p w:rsidR="00CF7937" w:rsidRDefault="00CF7937" w:rsidP="00CF7937">
                  <w:r>
                    <w:t>XXXIV</w:t>
                  </w:r>
                </w:p>
              </w:txbxContent>
            </v:textbox>
          </v:shape>
        </w:pict>
      </w:r>
      <w:r w:rsidR="00B240D8">
        <w:rPr>
          <w:noProof/>
        </w:rPr>
        <w:drawing>
          <wp:inline distT="0" distB="0" distL="0" distR="0">
            <wp:extent cx="7652385" cy="5878195"/>
            <wp:effectExtent l="1905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srcRect/>
                    <a:stretch>
                      <a:fillRect/>
                    </a:stretch>
                  </pic:blipFill>
                  <pic:spPr bwMode="auto">
                    <a:xfrm>
                      <a:off x="0" y="0"/>
                      <a:ext cx="7652385" cy="5878195"/>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4" type="#_x0000_t202" style="position:absolute;margin-left:309pt;margin-top:480.85pt;width:42.75pt;height:25.7pt;z-index:251687936">
            <v:textbox>
              <w:txbxContent>
                <w:p w:rsidR="00CF7937" w:rsidRDefault="00CF7937" w:rsidP="00CF7937">
                  <w:r>
                    <w:t>XXXV</w:t>
                  </w:r>
                </w:p>
              </w:txbxContent>
            </v:textbox>
          </v:shape>
        </w:pict>
      </w:r>
      <w:r w:rsidR="00B240D8">
        <w:rPr>
          <w:noProof/>
        </w:rPr>
        <w:drawing>
          <wp:inline distT="0" distB="0" distL="0" distR="0">
            <wp:extent cx="7652385" cy="5911215"/>
            <wp:effectExtent l="1905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7652385" cy="5911215"/>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5" type="#_x0000_t202" style="position:absolute;margin-left:310pt;margin-top:483.45pt;width:46.15pt;height:25.7pt;z-index:251688960">
            <v:textbox>
              <w:txbxContent>
                <w:p w:rsidR="00CF7937" w:rsidRDefault="00CF7937" w:rsidP="00CF7937">
                  <w:r>
                    <w:t>XXXVI</w:t>
                  </w:r>
                </w:p>
              </w:txbxContent>
            </v:textbox>
          </v:shape>
        </w:pict>
      </w:r>
      <w:r w:rsidR="00B240D8">
        <w:rPr>
          <w:noProof/>
        </w:rPr>
        <w:drawing>
          <wp:inline distT="0" distB="0" distL="0" distR="0">
            <wp:extent cx="7511415" cy="58674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srcRect/>
                    <a:stretch>
                      <a:fillRect/>
                    </a:stretch>
                  </pic:blipFill>
                  <pic:spPr bwMode="auto">
                    <a:xfrm>
                      <a:off x="0" y="0"/>
                      <a:ext cx="7511415" cy="5867400"/>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6" type="#_x0000_t202" style="position:absolute;margin-left:314.3pt;margin-top:485.15pt;width:47.75pt;height:25.7pt;z-index:251689984">
            <v:textbox>
              <w:txbxContent>
                <w:p w:rsidR="00CF7937" w:rsidRDefault="00CF7937" w:rsidP="00CF7937">
                  <w:r>
                    <w:t>XXXVII</w:t>
                  </w:r>
                </w:p>
              </w:txbxContent>
            </v:textbox>
          </v:shape>
        </w:pict>
      </w:r>
      <w:r w:rsidR="00B240D8">
        <w:rPr>
          <w:noProof/>
        </w:rPr>
        <w:drawing>
          <wp:inline distT="0" distB="0" distL="0" distR="0">
            <wp:extent cx="7652385" cy="5888990"/>
            <wp:effectExtent l="1905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srcRect/>
                    <a:stretch>
                      <a:fillRect/>
                    </a:stretch>
                  </pic:blipFill>
                  <pic:spPr bwMode="auto">
                    <a:xfrm>
                      <a:off x="0" y="0"/>
                      <a:ext cx="7652385" cy="5888990"/>
                    </a:xfrm>
                    <a:prstGeom prst="rect">
                      <a:avLst/>
                    </a:prstGeom>
                    <a:noFill/>
                    <a:ln w="9525">
                      <a:noFill/>
                      <a:miter lim="800000"/>
                      <a:headEnd/>
                      <a:tailEnd/>
                    </a:ln>
                  </pic:spPr>
                </pic:pic>
              </a:graphicData>
            </a:graphic>
          </wp:inline>
        </w:drawing>
      </w:r>
    </w:p>
    <w:p w:rsidR="001670EC" w:rsidRDefault="003D1A5F" w:rsidP="00BE6374">
      <w:pPr>
        <w:spacing w:before="480"/>
      </w:pPr>
      <w:r>
        <w:rPr>
          <w:noProof/>
        </w:rPr>
        <w:pict>
          <v:shape id="_x0000_s1117" type="#_x0000_t202" style="position:absolute;margin-left:314.3pt;margin-top:487.7pt;width:50.4pt;height:25.7pt;z-index:251691008">
            <v:textbox>
              <w:txbxContent>
                <w:p w:rsidR="00CF7937" w:rsidRDefault="00CF7937" w:rsidP="00CF7937">
                  <w:r>
                    <w:t>XXXVIII</w:t>
                  </w:r>
                </w:p>
              </w:txbxContent>
            </v:textbox>
          </v:shape>
        </w:pict>
      </w:r>
      <w:r w:rsidR="00B240D8">
        <w:rPr>
          <w:noProof/>
        </w:rPr>
        <w:drawing>
          <wp:inline distT="0" distB="0" distL="0" distR="0">
            <wp:extent cx="7740015" cy="591121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srcRect/>
                    <a:stretch>
                      <a:fillRect/>
                    </a:stretch>
                  </pic:blipFill>
                  <pic:spPr bwMode="auto">
                    <a:xfrm>
                      <a:off x="0" y="0"/>
                      <a:ext cx="7740015" cy="5911215"/>
                    </a:xfrm>
                    <a:prstGeom prst="rect">
                      <a:avLst/>
                    </a:prstGeom>
                    <a:noFill/>
                    <a:ln w="9525">
                      <a:noFill/>
                      <a:miter lim="800000"/>
                      <a:headEnd/>
                      <a:tailEnd/>
                    </a:ln>
                  </pic:spPr>
                </pic:pic>
              </a:graphicData>
            </a:graphic>
          </wp:inline>
        </w:drawing>
      </w:r>
    </w:p>
    <w:sectPr w:rsidR="001670EC" w:rsidSect="00F86D52">
      <w:pgSz w:w="15840" w:h="12240" w:orient="landscape"/>
      <w:pgMar w:top="1440" w:right="1260" w:bottom="1440" w:left="1260" w:header="720" w:footer="720" w:gutter="0"/>
      <w:pgNumType w:fmt="upperRoman"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0B0" w:rsidRDefault="009560B0" w:rsidP="00AF754F">
      <w:pPr>
        <w:spacing w:after="0" w:line="240" w:lineRule="auto"/>
      </w:pPr>
      <w:r>
        <w:separator/>
      </w:r>
    </w:p>
  </w:endnote>
  <w:endnote w:type="continuationSeparator" w:id="0">
    <w:p w:rsidR="009560B0" w:rsidRDefault="009560B0" w:rsidP="00AF75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utura">
    <w:altName w:val="Lucida Sans Unicode"/>
    <w:charset w:val="00"/>
    <w:family w:val="swiss"/>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4068"/>
      <w:gridCol w:w="1350"/>
      <w:gridCol w:w="4158"/>
    </w:tblGrid>
    <w:tr w:rsidR="009560B0" w:rsidRPr="00680D98" w:rsidTr="00D04E89">
      <w:trPr>
        <w:trHeight w:val="151"/>
      </w:trPr>
      <w:tc>
        <w:tcPr>
          <w:tcW w:w="2124" w:type="pct"/>
          <w:tcBorders>
            <w:bottom w:val="single" w:sz="4" w:space="0" w:color="4F81BD"/>
          </w:tcBorders>
        </w:tcPr>
        <w:p w:rsidR="009560B0" w:rsidRDefault="009560B0">
          <w:pPr>
            <w:pStyle w:val="Header"/>
            <w:rPr>
              <w:rFonts w:ascii="Cambria" w:hAnsi="Cambria"/>
              <w:b/>
              <w:bCs/>
            </w:rPr>
          </w:pPr>
        </w:p>
      </w:tc>
      <w:tc>
        <w:tcPr>
          <w:tcW w:w="705" w:type="pct"/>
          <w:vMerge w:val="restart"/>
          <w:noWrap/>
          <w:vAlign w:val="center"/>
        </w:tcPr>
        <w:p w:rsidR="009560B0" w:rsidRPr="00680D98" w:rsidRDefault="009560B0" w:rsidP="00D04E89">
          <w:pPr>
            <w:pStyle w:val="NoSpacing"/>
            <w:jc w:val="center"/>
          </w:pPr>
          <w:r w:rsidRPr="00680D98">
            <w:rPr>
              <w:b/>
            </w:rPr>
            <w:t xml:space="preserve">Page </w:t>
          </w:r>
          <w:fldSimple w:instr=" PAGE  \* MERGEFORMAT ">
            <w:r w:rsidR="00B240D8" w:rsidRPr="00B240D8">
              <w:rPr>
                <w:b/>
                <w:noProof/>
              </w:rPr>
              <w:t>1</w:t>
            </w:r>
          </w:fldSimple>
        </w:p>
      </w:tc>
      <w:tc>
        <w:tcPr>
          <w:tcW w:w="2171" w:type="pct"/>
          <w:tcBorders>
            <w:bottom w:val="single" w:sz="4" w:space="0" w:color="4F81BD"/>
          </w:tcBorders>
        </w:tcPr>
        <w:p w:rsidR="009560B0" w:rsidRDefault="009560B0">
          <w:pPr>
            <w:pStyle w:val="Header"/>
            <w:rPr>
              <w:rFonts w:ascii="Cambria" w:hAnsi="Cambria"/>
              <w:b/>
              <w:bCs/>
            </w:rPr>
          </w:pPr>
        </w:p>
      </w:tc>
    </w:tr>
    <w:tr w:rsidR="009560B0" w:rsidRPr="00680D98" w:rsidTr="00D04E89">
      <w:trPr>
        <w:trHeight w:val="150"/>
      </w:trPr>
      <w:tc>
        <w:tcPr>
          <w:tcW w:w="2124" w:type="pct"/>
          <w:tcBorders>
            <w:top w:val="single" w:sz="4" w:space="0" w:color="4F81BD"/>
          </w:tcBorders>
        </w:tcPr>
        <w:p w:rsidR="009560B0" w:rsidRDefault="009560B0">
          <w:pPr>
            <w:pStyle w:val="Header"/>
            <w:rPr>
              <w:rFonts w:ascii="Cambria" w:hAnsi="Cambria"/>
              <w:b/>
              <w:bCs/>
            </w:rPr>
          </w:pPr>
        </w:p>
      </w:tc>
      <w:tc>
        <w:tcPr>
          <w:tcW w:w="705" w:type="pct"/>
          <w:vMerge/>
        </w:tcPr>
        <w:p w:rsidR="009560B0" w:rsidRDefault="009560B0">
          <w:pPr>
            <w:pStyle w:val="Header"/>
            <w:jc w:val="center"/>
            <w:rPr>
              <w:rFonts w:ascii="Cambria" w:hAnsi="Cambria"/>
              <w:b/>
              <w:bCs/>
            </w:rPr>
          </w:pPr>
        </w:p>
      </w:tc>
      <w:tc>
        <w:tcPr>
          <w:tcW w:w="2171" w:type="pct"/>
          <w:tcBorders>
            <w:top w:val="single" w:sz="4" w:space="0" w:color="4F81BD"/>
          </w:tcBorders>
        </w:tcPr>
        <w:p w:rsidR="009560B0" w:rsidRDefault="009560B0">
          <w:pPr>
            <w:pStyle w:val="Header"/>
            <w:rPr>
              <w:rFonts w:ascii="Cambria" w:hAnsi="Cambria"/>
              <w:b/>
              <w:bCs/>
            </w:rPr>
          </w:pPr>
        </w:p>
      </w:tc>
    </w:tr>
  </w:tbl>
  <w:p w:rsidR="009560B0" w:rsidRDefault="009560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4068"/>
      <w:gridCol w:w="1350"/>
      <w:gridCol w:w="4158"/>
    </w:tblGrid>
    <w:tr w:rsidR="009560B0" w:rsidRPr="00680D98" w:rsidTr="00D04E89">
      <w:trPr>
        <w:trHeight w:val="151"/>
      </w:trPr>
      <w:tc>
        <w:tcPr>
          <w:tcW w:w="2124" w:type="pct"/>
          <w:tcBorders>
            <w:bottom w:val="single" w:sz="4" w:space="0" w:color="4F81BD"/>
          </w:tcBorders>
        </w:tcPr>
        <w:p w:rsidR="009560B0" w:rsidRDefault="009560B0">
          <w:pPr>
            <w:pStyle w:val="Header"/>
            <w:rPr>
              <w:rFonts w:ascii="Cambria" w:hAnsi="Cambria"/>
              <w:b/>
              <w:bCs/>
            </w:rPr>
          </w:pPr>
        </w:p>
      </w:tc>
      <w:tc>
        <w:tcPr>
          <w:tcW w:w="705" w:type="pct"/>
          <w:vMerge w:val="restart"/>
          <w:noWrap/>
          <w:vAlign w:val="center"/>
        </w:tcPr>
        <w:p w:rsidR="009560B0" w:rsidRPr="00680D98" w:rsidRDefault="009560B0" w:rsidP="00D04E89">
          <w:pPr>
            <w:pStyle w:val="NoSpacing"/>
            <w:jc w:val="center"/>
          </w:pPr>
        </w:p>
      </w:tc>
      <w:tc>
        <w:tcPr>
          <w:tcW w:w="2171" w:type="pct"/>
          <w:tcBorders>
            <w:bottom w:val="single" w:sz="4" w:space="0" w:color="4F81BD"/>
          </w:tcBorders>
        </w:tcPr>
        <w:p w:rsidR="009560B0" w:rsidRDefault="009560B0">
          <w:pPr>
            <w:pStyle w:val="Header"/>
            <w:rPr>
              <w:rFonts w:ascii="Cambria" w:hAnsi="Cambria"/>
              <w:b/>
              <w:bCs/>
            </w:rPr>
          </w:pPr>
        </w:p>
      </w:tc>
    </w:tr>
    <w:tr w:rsidR="009560B0" w:rsidRPr="00680D98" w:rsidTr="00D04E89">
      <w:trPr>
        <w:trHeight w:val="150"/>
      </w:trPr>
      <w:tc>
        <w:tcPr>
          <w:tcW w:w="2124" w:type="pct"/>
          <w:tcBorders>
            <w:top w:val="single" w:sz="4" w:space="0" w:color="4F81BD"/>
          </w:tcBorders>
        </w:tcPr>
        <w:p w:rsidR="009560B0" w:rsidRDefault="009560B0">
          <w:pPr>
            <w:pStyle w:val="Header"/>
            <w:rPr>
              <w:rFonts w:ascii="Cambria" w:hAnsi="Cambria"/>
              <w:b/>
              <w:bCs/>
            </w:rPr>
          </w:pPr>
        </w:p>
      </w:tc>
      <w:tc>
        <w:tcPr>
          <w:tcW w:w="705" w:type="pct"/>
          <w:vMerge/>
        </w:tcPr>
        <w:p w:rsidR="009560B0" w:rsidRDefault="009560B0">
          <w:pPr>
            <w:pStyle w:val="Header"/>
            <w:jc w:val="center"/>
            <w:rPr>
              <w:rFonts w:ascii="Cambria" w:hAnsi="Cambria"/>
              <w:b/>
              <w:bCs/>
            </w:rPr>
          </w:pPr>
        </w:p>
      </w:tc>
      <w:tc>
        <w:tcPr>
          <w:tcW w:w="2171" w:type="pct"/>
          <w:tcBorders>
            <w:top w:val="single" w:sz="4" w:space="0" w:color="4F81BD"/>
          </w:tcBorders>
        </w:tcPr>
        <w:p w:rsidR="009560B0" w:rsidRDefault="009560B0">
          <w:pPr>
            <w:pStyle w:val="Header"/>
            <w:rPr>
              <w:rFonts w:ascii="Cambria" w:hAnsi="Cambria"/>
              <w:b/>
              <w:bCs/>
            </w:rPr>
          </w:pPr>
        </w:p>
      </w:tc>
    </w:tr>
  </w:tbl>
  <w:p w:rsidR="009560B0" w:rsidRDefault="009560B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Default="003D1A5F">
    <w:pPr>
      <w:pStyle w:val="Footer"/>
    </w:pPr>
    <w:r>
      <w:rPr>
        <w:noProof/>
      </w:rPr>
      <w:pict>
        <v:group id="Group 156" o:spid="_x0000_s2049" style="position:absolute;margin-left:0;margin-top:0;width:580.05pt;height:27.35pt;z-index:25165824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">
          <v:rect id="Rectangle 157" o:spid="_x0000_s2050"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BOr8A&#10;AADbAAAADwAAAGRycy9kb3ducmV2LnhtbERPy4rCMBTdD/gP4QruxtQRtFRjKYKvjWD1Ay7NtS1t&#10;bkqTqfXvzWJglofz3qajacVAvastK1jMIxDEhdU1lwoe98N3DMJ5ZI2tZVLwJgfpbvK1xUTbF99o&#10;yH0pQgi7BBVU3neJlK6oyKCb2444cE/bG/QB9qXUPb5CuGnlTxStpMGaQ0OFHe0rKpr81yjI1pdm&#10;mTu/WsenJr4MpTnWV6PUbDpmGxCeRv8v/nOftYJlGBu+hB8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U0E6vwAAANsAAAAPAAAAAAAAAAAAAAAAAJgCAABkcnMvZG93bnJl&#10;di54bWxQSwUGAAAAAAQABAD1AAAAhAMAAAAA&#10;" fillcolor="#7030a0" stroked="f" strokecolor="#943634">
            <v:textbox style="mso-next-textbox:#Rectangle 157">
              <w:txbxContent>
                <w:p w:rsidR="009560B0" w:rsidRPr="00680D98" w:rsidRDefault="009560B0">
                  <w:pPr>
                    <w:pStyle w:val="Footer"/>
                    <w:jc w:val="right"/>
                    <w:rPr>
                      <w:color w:val="FFFFFF"/>
                      <w:spacing w:val="60"/>
                    </w:rPr>
                  </w:pPr>
                  <w:r w:rsidRPr="00680D98">
                    <w:rPr>
                      <w:color w:val="FFFFFF"/>
                      <w:spacing w:val="60"/>
                    </w:rPr>
                    <w:t>Center for Human Services Research</w:t>
                  </w:r>
                </w:p>
                <w:p w:rsidR="009560B0" w:rsidRPr="00680D98" w:rsidRDefault="009560B0">
                  <w:pPr>
                    <w:pStyle w:val="Header"/>
                    <w:rPr>
                      <w:color w:val="FFFFFF"/>
                    </w:rPr>
                  </w:pPr>
                </w:p>
              </w:txbxContent>
            </v:textbox>
          </v:rect>
          <v:rect id="Rectangle 158"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mK8QA&#10;AADbAAAADwAAAGRycy9kb3ducmV2LnhtbESPzWoCMRSF9wXfIVyhO02sWHRqlLZQUERB7aa76+R2&#10;ZnByM01SHX16UxC6PJyfjzOdt7YWJ/Khcqxh0FcgiHNnKi40fO4/emMQISIbrB2ThgsFmM86D1PM&#10;jDvzlk67WIg0wiFDDWWMTSZlyEuyGPquIU7et/MWY5K+kMbjOY3bWj4p9SwtVpwIJTb0XlJ+3P3a&#10;xP1arYfL62jdKCUXm8mb/zm4g9aP3fb1BUSkNv6H7+2F0TCcwN+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pivEAAAA2wAAAA8AAAAAAAAAAAAAAAAAmAIAAGRycy9k&#10;b3ducmV2LnhtbFBLBQYAAAAABAAEAPUAAACJAwAAAAA=&#10;" fillcolor="#7030a0" stroked="f">
            <v:textbox style="mso-next-textbox:#Rectangle 158">
              <w:txbxContent>
                <w:p w:rsidR="009560B0" w:rsidRPr="00680D98" w:rsidRDefault="009560B0">
                  <w:pPr>
                    <w:pStyle w:val="Footer"/>
                    <w:rPr>
                      <w:color w:val="FFFFFF"/>
                    </w:rPr>
                  </w:pPr>
                  <w:r w:rsidRPr="00680D98">
                    <w:rPr>
                      <w:color w:val="FFFFFF"/>
                    </w:rPr>
                    <w:t xml:space="preserve">Page </w:t>
                  </w:r>
                  <w:fldSimple w:instr=" PAGE   \* MERGEFORMAT ">
                    <w:r w:rsidR="008B5585" w:rsidRPr="008B5585">
                      <w:rPr>
                        <w:noProof/>
                        <w:color w:val="FFFFFF"/>
                      </w:rPr>
                      <w:t>i</w:t>
                    </w:r>
                  </w:fldSimple>
                </w:p>
              </w:txbxContent>
            </v:textbox>
          </v:rect>
          <v:rect id="Rectangle 159" o:spid="_x0000_s2052"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TcAA&#10;AADbAAAADwAAAGRycy9kb3ducmV2LnhtbERPz2vCMBS+C/sfwhO8aerQ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5WTcAAAADbAAAADwAAAAAAAAAAAAAAAACYAgAAZHJzL2Rvd25y&#10;ZXYueG1sUEsFBgAAAAAEAAQA9QAAAIUDAAAAAA==&#10;" filled="f"/>
          <w10:wrap type="topAndBottom" anchorx="page"/>
        </v:group>
      </w:pict>
    </w:r>
  </w:p>
  <w:p w:rsidR="009560B0" w:rsidRDefault="009560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Default="003D1A5F">
    <w:pPr>
      <w:pStyle w:val="Footer"/>
    </w:pPr>
    <w:r>
      <w:rPr>
        <w:noProof/>
      </w:rPr>
      <w:pict>
        <v:group id="_x0000_s2053" style="position:absolute;margin-left:0;margin-top:0;width:580.05pt;height:27.35pt;z-index:25165721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">
          <v:rect id="Rectangle 157" o:spid="_x0000_s2054"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LP8MA&#10;AADbAAAADwAAAGRycy9kb3ducmV2LnhtbESP0WqDQBRE3wv5h+UG+lbX1JKIcRNCIGl9KcTkAy7u&#10;jYruXXG3xv59t1Do4zAzZ5h8P5teTDS61rKCVRSDIK6sbrlWcLueXlIQziNr7C2Tgm9ysN8tnnLM&#10;tH3whabS1yJA2GWooPF+yKR0VUMGXWQH4uDd7WjQBznWUo/4CHDTy9c4XkuDLYeFBgc6NlR15ZdR&#10;cNgUXVI6v96k711aTLU5t59GqeflfNiC8DT7//Bf+0MrSN7g90v4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LP8MAAADbAAAADwAAAAAAAAAAAAAAAACYAgAAZHJzL2Rv&#10;d25yZXYueG1sUEsFBgAAAAAEAAQA9QAAAIgDAAAAAA==&#10;" fillcolor="#7030a0" stroked="f" strokecolor="#943634">
            <v:textbox>
              <w:txbxContent>
                <w:p w:rsidR="009560B0" w:rsidRPr="00680D98" w:rsidRDefault="009560B0">
                  <w:pPr>
                    <w:pStyle w:val="Footer"/>
                    <w:jc w:val="right"/>
                    <w:rPr>
                      <w:color w:val="FFFFFF"/>
                      <w:spacing w:val="60"/>
                    </w:rPr>
                  </w:pPr>
                  <w:r w:rsidRPr="00680D98">
                    <w:rPr>
                      <w:color w:val="FFFFFF"/>
                      <w:spacing w:val="60"/>
                    </w:rPr>
                    <w:t>Center for Human Services Research</w:t>
                  </w:r>
                </w:p>
                <w:p w:rsidR="009560B0" w:rsidRPr="00680D98" w:rsidRDefault="009560B0">
                  <w:pPr>
                    <w:pStyle w:val="Header"/>
                    <w:rPr>
                      <w:color w:val="FFFFFF"/>
                    </w:rPr>
                  </w:pPr>
                </w:p>
              </w:txbxContent>
            </v:textbox>
          </v:rect>
          <v:rect id="Rectangle 158" o:spid="_x0000_s2055"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sLsQA&#10;AADbAAAADwAAAGRycy9kb3ducmV2LnhtbESPzWoCMRSF94W+Q7hCd5pYUezUKG2hoBQFtZvurpPr&#10;zODkZppEnfr0RhC6PJyfjzOZtbYWJ/Khcqyh31MgiHNnKi40fG8/u2MQISIbrB2Thj8KMJs+Pkww&#10;M+7MazptYiHSCIcMNZQxNpmUIS/JYui5hjh5e+ctxiR9IY3Hcxq3tXxWaiQtVpwIJTb0UVJ+2Bxt&#10;4v58LQeLy3DZKCXnq5d3/7tzO62fOu3bK4hIbfwP39tzo2EwhN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rC7EAAAA2wAAAA8AAAAAAAAAAAAAAAAAmAIAAGRycy9k&#10;b3ducmV2LnhtbFBLBQYAAAAABAAEAPUAAACJAwAAAAA=&#10;" fillcolor="#7030a0" stroked="f">
            <v:textbox>
              <w:txbxContent>
                <w:p w:rsidR="009560B0" w:rsidRPr="00680D98" w:rsidRDefault="009560B0">
                  <w:pPr>
                    <w:pStyle w:val="Footer"/>
                    <w:rPr>
                      <w:color w:val="FFFFFF"/>
                    </w:rPr>
                  </w:pPr>
                  <w:r w:rsidRPr="00680D98">
                    <w:rPr>
                      <w:color w:val="FFFFFF"/>
                    </w:rPr>
                    <w:t xml:space="preserve">Page </w:t>
                  </w:r>
                  <w:fldSimple w:instr=" PAGE   \* MERGEFORMAT ">
                    <w:r w:rsidR="008B5585" w:rsidRPr="008B5585">
                      <w:rPr>
                        <w:noProof/>
                        <w:color w:val="FFFFFF"/>
                      </w:rPr>
                      <w:t>26</w:t>
                    </w:r>
                  </w:fldSimple>
                </w:p>
              </w:txbxContent>
            </v:textbox>
          </v:rect>
          <v:rect id="Rectangle 159" o:spid="_x0000_s2056"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Y38MA&#10;AADbAAAADwAAAGRycy9kb3ducmV2LnhtbESPQWvCQBSE70L/w/IKvemmF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0Y38MAAADbAAAADwAAAAAAAAAAAAAAAACYAgAAZHJzL2Rv&#10;d25yZXYueG1sUEsFBgAAAAAEAAQA9QAAAIgDAAAAAA==&#10;" filled="f"/>
          <w10:wrap type="topAndBottom" anchorx="page"/>
        </v:group>
      </w:pict>
    </w:r>
  </w:p>
  <w:p w:rsidR="009560B0" w:rsidRDefault="009560B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Default="00CF7937" w:rsidP="009560B0">
    <w:pPr>
      <w:pStyle w:val="Footer"/>
      <w:jc w:val="center"/>
    </w:pPr>
    <w:r>
      <w:t>VIII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0B0" w:rsidRDefault="009560B0" w:rsidP="00AF754F">
      <w:pPr>
        <w:spacing w:after="0" w:line="240" w:lineRule="auto"/>
      </w:pPr>
      <w:r>
        <w:separator/>
      </w:r>
    </w:p>
  </w:footnote>
  <w:footnote w:type="continuationSeparator" w:id="0">
    <w:p w:rsidR="009560B0" w:rsidRDefault="009560B0" w:rsidP="00AF754F">
      <w:pPr>
        <w:spacing w:after="0" w:line="240" w:lineRule="auto"/>
      </w:pPr>
      <w:r>
        <w:continuationSeparator/>
      </w:r>
    </w:p>
  </w:footnote>
  <w:footnote w:id="1">
    <w:p w:rsidR="009560B0" w:rsidRDefault="009560B0" w:rsidP="000F2CD3">
      <w:pPr>
        <w:pStyle w:val="FootnoteText"/>
      </w:pPr>
      <w:r>
        <w:rPr>
          <w:rStyle w:val="FootnoteReference"/>
        </w:rPr>
        <w:footnoteRef/>
      </w:r>
      <w:r>
        <w:t xml:space="preserve"> Excerpt from New York State Department of Health web site</w:t>
      </w:r>
    </w:p>
  </w:footnote>
  <w:footnote w:id="2">
    <w:p w:rsidR="009560B0" w:rsidRDefault="009560B0" w:rsidP="0093158F">
      <w:r>
        <w:rPr>
          <w:rStyle w:val="FootnoteReference"/>
        </w:rPr>
        <w:footnoteRef/>
      </w:r>
      <w:r>
        <w:t xml:space="preserve"> Fulton County NY Tourism Website, 2013 </w:t>
      </w:r>
      <w:hyperlink r:id="rId1" w:history="1">
        <w:r w:rsidRPr="000F3B91">
          <w:rPr>
            <w:rStyle w:val="Hyperlink"/>
          </w:rPr>
          <w:t>http://44lakes.com/about</w:t>
        </w:r>
      </w:hyperlink>
    </w:p>
    <w:p w:rsidR="009560B0" w:rsidRDefault="009560B0" w:rsidP="0093158F"/>
  </w:footnote>
  <w:footnote w:id="3">
    <w:p w:rsidR="009560B0" w:rsidRDefault="009560B0" w:rsidP="001670D7">
      <w:pPr>
        <w:pStyle w:val="FootnoteText"/>
      </w:pPr>
      <w:r>
        <w:rPr>
          <w:rStyle w:val="FootnoteReference"/>
        </w:rPr>
        <w:footnoteRef/>
      </w:r>
      <w:r>
        <w:t xml:space="preserve"> Hospitalizations for such things as asthma, diabetes, otitis media, etc. that occurred as a result of inadequate access to primary care services.</w:t>
      </w:r>
    </w:p>
  </w:footnote>
  <w:footnote w:id="4">
    <w:p w:rsidR="009560B0" w:rsidRDefault="009560B0" w:rsidP="001670D7">
      <w:pPr>
        <w:pStyle w:val="FootnoteText"/>
      </w:pPr>
      <w:r>
        <w:rPr>
          <w:rStyle w:val="FootnoteReference"/>
        </w:rPr>
        <w:footnoteRef/>
      </w:r>
      <w:r>
        <w:t xml:space="preserve"> Unless otherwise specified, adult is defined as age 18 or older.</w:t>
      </w:r>
    </w:p>
  </w:footnote>
  <w:footnote w:id="5">
    <w:p w:rsidR="009560B0" w:rsidRPr="001670D7" w:rsidRDefault="009560B0" w:rsidP="001670D7">
      <w:pPr>
        <w:pStyle w:val="FootnoteText"/>
      </w:pPr>
      <w:r w:rsidRPr="001670D7">
        <w:rPr>
          <w:rStyle w:val="FootnoteReference"/>
        </w:rPr>
        <w:footnoteRef/>
      </w:r>
      <w:r w:rsidRPr="001670D7">
        <w:t xml:space="preserve"> </w:t>
      </w:r>
      <w:r w:rsidRPr="001670D7">
        <w:rPr>
          <w:color w:val="000000"/>
        </w:rPr>
        <w:t>The number of children (ages 19-35 months) per 100 population who received their 4:3:1:3:3:1:4 immunization series (4 DTaP, 3 polio, 1 MMR, 3 hep B, 3 Hib, 1 varicella, 4 PCV13).</w:t>
      </w:r>
    </w:p>
    <w:p w:rsidR="009560B0" w:rsidRDefault="009560B0" w:rsidP="001670D7">
      <w:pPr>
        <w:pStyle w:val="FootnoteText"/>
      </w:pPr>
    </w:p>
  </w:footnote>
  <w:footnote w:id="6">
    <w:p w:rsidR="009560B0" w:rsidRDefault="009560B0" w:rsidP="00814C68">
      <w:pPr>
        <w:pStyle w:val="FootnoteText"/>
      </w:pPr>
      <w:r>
        <w:rPr>
          <w:rStyle w:val="FootnoteReference"/>
        </w:rPr>
        <w:footnoteRef/>
      </w:r>
      <w:r>
        <w:t xml:space="preserve"> Aggregated data for the ARHN region included Clinton, Essex, Franklin, Fulton, Hamilton, Saratoga, Warren, and Washington counties but did not include Montgomery County.</w:t>
      </w:r>
    </w:p>
  </w:footnote>
  <w:footnote w:id="7">
    <w:p w:rsidR="009560B0" w:rsidRDefault="009560B0" w:rsidP="00814C68">
      <w:pPr>
        <w:pStyle w:val="FootnoteText"/>
      </w:pPr>
      <w:r>
        <w:rPr>
          <w:rStyle w:val="FootnoteReference"/>
        </w:rPr>
        <w:footnoteRef/>
      </w:r>
      <w:r>
        <w:t xml:space="preserve"> </w:t>
      </w:r>
      <w:r w:rsidRPr="00CB09AA">
        <w:t>County is determined by the main</w:t>
      </w:r>
      <w:r>
        <w:t xml:space="preserve"> address listed on the licensure file. The address listed may be a private residence or may represent those with active licenses but not actively practicing patient care. Therefore, the information provided may not truly reflect who is practicing in a profession in the county.</w:t>
      </w:r>
    </w:p>
  </w:footnote>
  <w:footnote w:id="8">
    <w:p w:rsidR="009560B0" w:rsidRDefault="009560B0" w:rsidP="00814C68">
      <w:pPr>
        <w:pStyle w:val="FootnoteText"/>
      </w:pPr>
      <w:r>
        <w:rPr>
          <w:rStyle w:val="FootnoteReference"/>
        </w:rPr>
        <w:footnoteRef/>
      </w:r>
      <w:r>
        <w:t xml:space="preserve"> At the time of the survey, the New York State had identified five priority areas (1) Promote a Health and Safe Environment; (2) Preventing Chronic Disease; (3) Promoting Healthy Women, Infants, and Children; (4)Prevent HIV/STDs, Vaccine-Preventable Disease, and Health Care-Associated Infections; and (5) Promote Mental Health and Prevent Substance Abuse. The sixth priority area, Improve Health Status and Reduce Health Disparities, had not yet been identified and was not included as part of the provider survey.</w:t>
      </w:r>
    </w:p>
  </w:footnote>
  <w:footnote w:id="9">
    <w:p w:rsidR="009560B0" w:rsidRDefault="009560B0" w:rsidP="00814C68">
      <w:pPr>
        <w:pStyle w:val="FootnoteText"/>
      </w:pPr>
      <w:r>
        <w:rPr>
          <w:rStyle w:val="FootnoteReference"/>
        </w:rPr>
        <w:footnoteRef/>
      </w:r>
      <w:r>
        <w:t xml:space="preserve"> Montgomery County was not included in the survey.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Default="009560B0">
    <w:pPr>
      <w:pStyle w:val="Header"/>
    </w:pPr>
  </w:p>
  <w:p w:rsidR="009560B0" w:rsidRDefault="009560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Pr="006E45F6" w:rsidRDefault="009560B0" w:rsidP="006E45F6">
    <w:pPr>
      <w:pStyle w:val="Header"/>
    </w:pPr>
    <w:r>
      <w:t>ARHN Survey Region-Wide Results – March 2013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Default="009560B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Pr="006E45F6" w:rsidRDefault="009560B0" w:rsidP="006E45F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0B0" w:rsidRDefault="009560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2F3"/>
    <w:multiLevelType w:val="hybridMultilevel"/>
    <w:tmpl w:val="B88AF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E61587"/>
    <w:multiLevelType w:val="hybridMultilevel"/>
    <w:tmpl w:val="93C0B8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E3E59"/>
    <w:multiLevelType w:val="hybridMultilevel"/>
    <w:tmpl w:val="2DDA73A6"/>
    <w:lvl w:ilvl="0" w:tplc="B71C51CA">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96288"/>
    <w:multiLevelType w:val="hybridMultilevel"/>
    <w:tmpl w:val="A500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464D2"/>
    <w:multiLevelType w:val="hybridMultilevel"/>
    <w:tmpl w:val="AB62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1526B"/>
    <w:multiLevelType w:val="hybridMultilevel"/>
    <w:tmpl w:val="2C82E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E26334"/>
    <w:multiLevelType w:val="hybridMultilevel"/>
    <w:tmpl w:val="248A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A3B72"/>
    <w:multiLevelType w:val="hybridMultilevel"/>
    <w:tmpl w:val="74D8ED3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8">
    <w:nsid w:val="15C02E4C"/>
    <w:multiLevelType w:val="hybridMultilevel"/>
    <w:tmpl w:val="9F2276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462B55"/>
    <w:multiLevelType w:val="hybridMultilevel"/>
    <w:tmpl w:val="4794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3D503E"/>
    <w:multiLevelType w:val="hybridMultilevel"/>
    <w:tmpl w:val="52DC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76622"/>
    <w:multiLevelType w:val="hybridMultilevel"/>
    <w:tmpl w:val="D5A48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AA36CE"/>
    <w:multiLevelType w:val="hybridMultilevel"/>
    <w:tmpl w:val="7496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FD24FF"/>
    <w:multiLevelType w:val="hybridMultilevel"/>
    <w:tmpl w:val="F8E4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233F28"/>
    <w:multiLevelType w:val="hybridMultilevel"/>
    <w:tmpl w:val="2E5C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297A29"/>
    <w:multiLevelType w:val="hybridMultilevel"/>
    <w:tmpl w:val="A0823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2D1E4D"/>
    <w:multiLevelType w:val="hybridMultilevel"/>
    <w:tmpl w:val="4530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3D3662"/>
    <w:multiLevelType w:val="hybridMultilevel"/>
    <w:tmpl w:val="4F7C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6455AF"/>
    <w:multiLevelType w:val="hybridMultilevel"/>
    <w:tmpl w:val="DA82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616D4A"/>
    <w:multiLevelType w:val="hybridMultilevel"/>
    <w:tmpl w:val="40F8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51613"/>
    <w:multiLevelType w:val="hybridMultilevel"/>
    <w:tmpl w:val="505E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705147"/>
    <w:multiLevelType w:val="hybridMultilevel"/>
    <w:tmpl w:val="C7E0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424C8C"/>
    <w:multiLevelType w:val="hybridMultilevel"/>
    <w:tmpl w:val="886E6ED8"/>
    <w:lvl w:ilvl="0" w:tplc="7B643F6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53047EB9"/>
    <w:multiLevelType w:val="hybridMultilevel"/>
    <w:tmpl w:val="6BFAF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9F3FA3"/>
    <w:multiLevelType w:val="hybridMultilevel"/>
    <w:tmpl w:val="3EB2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C65AA6"/>
    <w:multiLevelType w:val="hybridMultilevel"/>
    <w:tmpl w:val="7CCC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274C30"/>
    <w:multiLevelType w:val="hybridMultilevel"/>
    <w:tmpl w:val="FBAA6C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FD25711"/>
    <w:multiLevelType w:val="hybridMultilevel"/>
    <w:tmpl w:val="75FE23DE"/>
    <w:lvl w:ilvl="0" w:tplc="14DA462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68666599"/>
    <w:multiLevelType w:val="hybridMultilevel"/>
    <w:tmpl w:val="94A2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250542"/>
    <w:multiLevelType w:val="hybridMultilevel"/>
    <w:tmpl w:val="BAC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9605CCE"/>
    <w:multiLevelType w:val="hybridMultilevel"/>
    <w:tmpl w:val="3D12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24054D"/>
    <w:multiLevelType w:val="hybridMultilevel"/>
    <w:tmpl w:val="D6307D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F501E1C"/>
    <w:multiLevelType w:val="hybridMultilevel"/>
    <w:tmpl w:val="B776DA9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4C86439"/>
    <w:multiLevelType w:val="hybridMultilevel"/>
    <w:tmpl w:val="E9ECA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4EB2BE1"/>
    <w:multiLevelType w:val="hybridMultilevel"/>
    <w:tmpl w:val="099C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8A0BED"/>
    <w:multiLevelType w:val="hybridMultilevel"/>
    <w:tmpl w:val="8CEA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AE7DD0"/>
    <w:multiLevelType w:val="hybridMultilevel"/>
    <w:tmpl w:val="5ED8E314"/>
    <w:lvl w:ilvl="0" w:tplc="1EC27008">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8475A8"/>
    <w:multiLevelType w:val="hybridMultilevel"/>
    <w:tmpl w:val="02689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C90E2D"/>
    <w:multiLevelType w:val="hybridMultilevel"/>
    <w:tmpl w:val="EF10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3"/>
  </w:num>
  <w:num w:numId="4">
    <w:abstractNumId w:val="23"/>
  </w:num>
  <w:num w:numId="5">
    <w:abstractNumId w:val="9"/>
  </w:num>
  <w:num w:numId="6">
    <w:abstractNumId w:val="26"/>
  </w:num>
  <w:num w:numId="7">
    <w:abstractNumId w:val="33"/>
  </w:num>
  <w:num w:numId="8">
    <w:abstractNumId w:val="0"/>
  </w:num>
  <w:num w:numId="9">
    <w:abstractNumId w:val="29"/>
  </w:num>
  <w:num w:numId="10">
    <w:abstractNumId w:val="5"/>
  </w:num>
  <w:num w:numId="11">
    <w:abstractNumId w:val="37"/>
  </w:num>
  <w:num w:numId="12">
    <w:abstractNumId w:val="1"/>
  </w:num>
  <w:num w:numId="13">
    <w:abstractNumId w:val="7"/>
  </w:num>
  <w:num w:numId="14">
    <w:abstractNumId w:val="11"/>
  </w:num>
  <w:num w:numId="15">
    <w:abstractNumId w:val="19"/>
  </w:num>
  <w:num w:numId="16">
    <w:abstractNumId w:val="17"/>
  </w:num>
  <w:num w:numId="17">
    <w:abstractNumId w:val="25"/>
  </w:num>
  <w:num w:numId="18">
    <w:abstractNumId w:val="28"/>
  </w:num>
  <w:num w:numId="19">
    <w:abstractNumId w:val="20"/>
  </w:num>
  <w:num w:numId="20">
    <w:abstractNumId w:val="6"/>
  </w:num>
  <w:num w:numId="21">
    <w:abstractNumId w:val="10"/>
  </w:num>
  <w:num w:numId="22">
    <w:abstractNumId w:val="35"/>
  </w:num>
  <w:num w:numId="23">
    <w:abstractNumId w:val="24"/>
  </w:num>
  <w:num w:numId="24">
    <w:abstractNumId w:val="4"/>
  </w:num>
  <w:num w:numId="25">
    <w:abstractNumId w:val="16"/>
  </w:num>
  <w:num w:numId="26">
    <w:abstractNumId w:val="12"/>
  </w:num>
  <w:num w:numId="27">
    <w:abstractNumId w:val="34"/>
  </w:num>
  <w:num w:numId="28">
    <w:abstractNumId w:val="31"/>
  </w:num>
  <w:num w:numId="29">
    <w:abstractNumId w:val="32"/>
  </w:num>
  <w:num w:numId="30">
    <w:abstractNumId w:val="8"/>
  </w:num>
  <w:num w:numId="31">
    <w:abstractNumId w:val="36"/>
  </w:num>
  <w:num w:numId="32">
    <w:abstractNumId w:val="2"/>
  </w:num>
  <w:num w:numId="33">
    <w:abstractNumId w:val="27"/>
  </w:num>
  <w:num w:numId="34">
    <w:abstractNumId w:val="22"/>
  </w:num>
  <w:num w:numId="35">
    <w:abstractNumId w:val="21"/>
  </w:num>
  <w:num w:numId="36">
    <w:abstractNumId w:val="14"/>
  </w:num>
  <w:num w:numId="37">
    <w:abstractNumId w:val="15"/>
  </w:num>
  <w:num w:numId="38">
    <w:abstractNumId w:val="3"/>
  </w:num>
  <w:num w:numId="39">
    <w:abstractNumId w:val="3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rsids>
    <w:rsidRoot w:val="00C13AAC"/>
    <w:rsid w:val="00000AA0"/>
    <w:rsid w:val="00002C54"/>
    <w:rsid w:val="00003C6D"/>
    <w:rsid w:val="00003CB1"/>
    <w:rsid w:val="00004F02"/>
    <w:rsid w:val="00005327"/>
    <w:rsid w:val="000061D6"/>
    <w:rsid w:val="000160BA"/>
    <w:rsid w:val="0001670C"/>
    <w:rsid w:val="000177C9"/>
    <w:rsid w:val="00017A2C"/>
    <w:rsid w:val="00020E93"/>
    <w:rsid w:val="000219D2"/>
    <w:rsid w:val="00026C4E"/>
    <w:rsid w:val="00030452"/>
    <w:rsid w:val="000305C3"/>
    <w:rsid w:val="000313F3"/>
    <w:rsid w:val="000327FF"/>
    <w:rsid w:val="0003416E"/>
    <w:rsid w:val="00037BCC"/>
    <w:rsid w:val="00042485"/>
    <w:rsid w:val="00042C05"/>
    <w:rsid w:val="000435EE"/>
    <w:rsid w:val="000500B5"/>
    <w:rsid w:val="00050E25"/>
    <w:rsid w:val="00051645"/>
    <w:rsid w:val="00054522"/>
    <w:rsid w:val="00055CE1"/>
    <w:rsid w:val="000572BC"/>
    <w:rsid w:val="00062739"/>
    <w:rsid w:val="000654F8"/>
    <w:rsid w:val="00072BA0"/>
    <w:rsid w:val="00073589"/>
    <w:rsid w:val="00074611"/>
    <w:rsid w:val="00074A2D"/>
    <w:rsid w:val="000825DC"/>
    <w:rsid w:val="0008325A"/>
    <w:rsid w:val="00083A94"/>
    <w:rsid w:val="000840A5"/>
    <w:rsid w:val="0008570E"/>
    <w:rsid w:val="00085D16"/>
    <w:rsid w:val="00086DA5"/>
    <w:rsid w:val="00091FCE"/>
    <w:rsid w:val="00093563"/>
    <w:rsid w:val="00093CC1"/>
    <w:rsid w:val="00095C89"/>
    <w:rsid w:val="000A2154"/>
    <w:rsid w:val="000A4B9D"/>
    <w:rsid w:val="000B3F8B"/>
    <w:rsid w:val="000B43C8"/>
    <w:rsid w:val="000B4D1F"/>
    <w:rsid w:val="000B7F2E"/>
    <w:rsid w:val="000C42C3"/>
    <w:rsid w:val="000C4C89"/>
    <w:rsid w:val="000C7093"/>
    <w:rsid w:val="000C7828"/>
    <w:rsid w:val="000D2344"/>
    <w:rsid w:val="000D28DB"/>
    <w:rsid w:val="000E0302"/>
    <w:rsid w:val="000E11E4"/>
    <w:rsid w:val="000E4D60"/>
    <w:rsid w:val="000E6BD3"/>
    <w:rsid w:val="000E7AB1"/>
    <w:rsid w:val="000F2CD3"/>
    <w:rsid w:val="000F3B91"/>
    <w:rsid w:val="001007FC"/>
    <w:rsid w:val="0010318A"/>
    <w:rsid w:val="001119B8"/>
    <w:rsid w:val="0011390E"/>
    <w:rsid w:val="001161B7"/>
    <w:rsid w:val="001164E7"/>
    <w:rsid w:val="00117CD8"/>
    <w:rsid w:val="0012636E"/>
    <w:rsid w:val="00127194"/>
    <w:rsid w:val="001304EF"/>
    <w:rsid w:val="0013240B"/>
    <w:rsid w:val="0013259E"/>
    <w:rsid w:val="00141717"/>
    <w:rsid w:val="00144A4F"/>
    <w:rsid w:val="001551C8"/>
    <w:rsid w:val="00155D13"/>
    <w:rsid w:val="00156A9D"/>
    <w:rsid w:val="0016467B"/>
    <w:rsid w:val="00165B6B"/>
    <w:rsid w:val="001670D7"/>
    <w:rsid w:val="001670EC"/>
    <w:rsid w:val="001674F0"/>
    <w:rsid w:val="0016788B"/>
    <w:rsid w:val="0017567D"/>
    <w:rsid w:val="00177493"/>
    <w:rsid w:val="001778BD"/>
    <w:rsid w:val="0018013C"/>
    <w:rsid w:val="0018707F"/>
    <w:rsid w:val="0019754C"/>
    <w:rsid w:val="001A38DA"/>
    <w:rsid w:val="001A73CA"/>
    <w:rsid w:val="001B4648"/>
    <w:rsid w:val="001B5248"/>
    <w:rsid w:val="001B5BB9"/>
    <w:rsid w:val="001B7C60"/>
    <w:rsid w:val="001C42BE"/>
    <w:rsid w:val="001C4C92"/>
    <w:rsid w:val="001C7C24"/>
    <w:rsid w:val="001D26B4"/>
    <w:rsid w:val="001D3697"/>
    <w:rsid w:val="001D4C03"/>
    <w:rsid w:val="001D4CE0"/>
    <w:rsid w:val="001D786B"/>
    <w:rsid w:val="001D7A3A"/>
    <w:rsid w:val="001D7BE3"/>
    <w:rsid w:val="001E1B01"/>
    <w:rsid w:val="001E1EA2"/>
    <w:rsid w:val="001E3492"/>
    <w:rsid w:val="001E5CF3"/>
    <w:rsid w:val="001E671B"/>
    <w:rsid w:val="001F7738"/>
    <w:rsid w:val="00200747"/>
    <w:rsid w:val="00200D7C"/>
    <w:rsid w:val="0020374E"/>
    <w:rsid w:val="00204112"/>
    <w:rsid w:val="00204378"/>
    <w:rsid w:val="00210178"/>
    <w:rsid w:val="002119FE"/>
    <w:rsid w:val="002154F6"/>
    <w:rsid w:val="00215EC2"/>
    <w:rsid w:val="00223226"/>
    <w:rsid w:val="002251FC"/>
    <w:rsid w:val="00232522"/>
    <w:rsid w:val="00234609"/>
    <w:rsid w:val="002366D9"/>
    <w:rsid w:val="00237C93"/>
    <w:rsid w:val="002441F4"/>
    <w:rsid w:val="00251187"/>
    <w:rsid w:val="00252525"/>
    <w:rsid w:val="00254BCB"/>
    <w:rsid w:val="00261FC3"/>
    <w:rsid w:val="0026255E"/>
    <w:rsid w:val="0026329F"/>
    <w:rsid w:val="002643AE"/>
    <w:rsid w:val="00265A60"/>
    <w:rsid w:val="002709D2"/>
    <w:rsid w:val="00271730"/>
    <w:rsid w:val="002736AE"/>
    <w:rsid w:val="00274B6E"/>
    <w:rsid w:val="0028118D"/>
    <w:rsid w:val="00290628"/>
    <w:rsid w:val="0029391A"/>
    <w:rsid w:val="00293926"/>
    <w:rsid w:val="0029529F"/>
    <w:rsid w:val="002A05F9"/>
    <w:rsid w:val="002A17F6"/>
    <w:rsid w:val="002A4234"/>
    <w:rsid w:val="002A4C69"/>
    <w:rsid w:val="002A6175"/>
    <w:rsid w:val="002B4A44"/>
    <w:rsid w:val="002B508C"/>
    <w:rsid w:val="002B5735"/>
    <w:rsid w:val="002C276D"/>
    <w:rsid w:val="002C71A3"/>
    <w:rsid w:val="002D3B8C"/>
    <w:rsid w:val="002E2CCB"/>
    <w:rsid w:val="002E3D5A"/>
    <w:rsid w:val="002E6147"/>
    <w:rsid w:val="002F265C"/>
    <w:rsid w:val="002F2B72"/>
    <w:rsid w:val="002F526A"/>
    <w:rsid w:val="00300C14"/>
    <w:rsid w:val="00300C82"/>
    <w:rsid w:val="003020A5"/>
    <w:rsid w:val="00303DCF"/>
    <w:rsid w:val="003104A5"/>
    <w:rsid w:val="003114A5"/>
    <w:rsid w:val="003124B9"/>
    <w:rsid w:val="00312FE0"/>
    <w:rsid w:val="003161F6"/>
    <w:rsid w:val="0031631C"/>
    <w:rsid w:val="0031750F"/>
    <w:rsid w:val="00317520"/>
    <w:rsid w:val="00320D8B"/>
    <w:rsid w:val="00320F3B"/>
    <w:rsid w:val="00325832"/>
    <w:rsid w:val="00325939"/>
    <w:rsid w:val="0032652D"/>
    <w:rsid w:val="00330867"/>
    <w:rsid w:val="003311B5"/>
    <w:rsid w:val="003345C4"/>
    <w:rsid w:val="00334BE3"/>
    <w:rsid w:val="003439B7"/>
    <w:rsid w:val="00351574"/>
    <w:rsid w:val="00352715"/>
    <w:rsid w:val="00352FF7"/>
    <w:rsid w:val="00360FDC"/>
    <w:rsid w:val="00361C36"/>
    <w:rsid w:val="003623F8"/>
    <w:rsid w:val="003640EC"/>
    <w:rsid w:val="00365619"/>
    <w:rsid w:val="0036619D"/>
    <w:rsid w:val="00372F8D"/>
    <w:rsid w:val="0038143D"/>
    <w:rsid w:val="00382027"/>
    <w:rsid w:val="00382DFC"/>
    <w:rsid w:val="00382E40"/>
    <w:rsid w:val="00384488"/>
    <w:rsid w:val="00393866"/>
    <w:rsid w:val="003939F3"/>
    <w:rsid w:val="00394D0B"/>
    <w:rsid w:val="00394DF8"/>
    <w:rsid w:val="00395235"/>
    <w:rsid w:val="003A365A"/>
    <w:rsid w:val="003A4A5C"/>
    <w:rsid w:val="003A6073"/>
    <w:rsid w:val="003A74FF"/>
    <w:rsid w:val="003B2AA1"/>
    <w:rsid w:val="003B2AE1"/>
    <w:rsid w:val="003B70C7"/>
    <w:rsid w:val="003C158D"/>
    <w:rsid w:val="003C3425"/>
    <w:rsid w:val="003C4F9E"/>
    <w:rsid w:val="003C75ED"/>
    <w:rsid w:val="003D145D"/>
    <w:rsid w:val="003D179B"/>
    <w:rsid w:val="003D1A5F"/>
    <w:rsid w:val="003D3812"/>
    <w:rsid w:val="003D56FB"/>
    <w:rsid w:val="003D6B22"/>
    <w:rsid w:val="003D783E"/>
    <w:rsid w:val="003E266E"/>
    <w:rsid w:val="003E75E7"/>
    <w:rsid w:val="003E779C"/>
    <w:rsid w:val="003F0EF3"/>
    <w:rsid w:val="003F7C8E"/>
    <w:rsid w:val="00401D38"/>
    <w:rsid w:val="00404FFC"/>
    <w:rsid w:val="0040736B"/>
    <w:rsid w:val="00407831"/>
    <w:rsid w:val="004115F4"/>
    <w:rsid w:val="00412325"/>
    <w:rsid w:val="0042025A"/>
    <w:rsid w:val="00421CEE"/>
    <w:rsid w:val="00422030"/>
    <w:rsid w:val="00423B0B"/>
    <w:rsid w:val="00424F2C"/>
    <w:rsid w:val="00427F40"/>
    <w:rsid w:val="00430AB7"/>
    <w:rsid w:val="00432473"/>
    <w:rsid w:val="00432831"/>
    <w:rsid w:val="00433501"/>
    <w:rsid w:val="00434D1E"/>
    <w:rsid w:val="004458B3"/>
    <w:rsid w:val="00447CEC"/>
    <w:rsid w:val="00447D91"/>
    <w:rsid w:val="00452519"/>
    <w:rsid w:val="00456F88"/>
    <w:rsid w:val="004574A4"/>
    <w:rsid w:val="0046078F"/>
    <w:rsid w:val="00473EE4"/>
    <w:rsid w:val="00474864"/>
    <w:rsid w:val="00475274"/>
    <w:rsid w:val="00477618"/>
    <w:rsid w:val="0048203F"/>
    <w:rsid w:val="00482792"/>
    <w:rsid w:val="00490356"/>
    <w:rsid w:val="004944CF"/>
    <w:rsid w:val="004944D9"/>
    <w:rsid w:val="004A2296"/>
    <w:rsid w:val="004A3378"/>
    <w:rsid w:val="004A7FAD"/>
    <w:rsid w:val="004B013E"/>
    <w:rsid w:val="004B16E5"/>
    <w:rsid w:val="004B1BCE"/>
    <w:rsid w:val="004B21E7"/>
    <w:rsid w:val="004B2647"/>
    <w:rsid w:val="004B272C"/>
    <w:rsid w:val="004B27DD"/>
    <w:rsid w:val="004B2E11"/>
    <w:rsid w:val="004B647B"/>
    <w:rsid w:val="004B73B2"/>
    <w:rsid w:val="004C20B3"/>
    <w:rsid w:val="004C24D2"/>
    <w:rsid w:val="004C28F8"/>
    <w:rsid w:val="004D16A9"/>
    <w:rsid w:val="004D3DEE"/>
    <w:rsid w:val="004D76DE"/>
    <w:rsid w:val="004D78FD"/>
    <w:rsid w:val="004D7F7C"/>
    <w:rsid w:val="004E0BA8"/>
    <w:rsid w:val="004E0BC1"/>
    <w:rsid w:val="004E4229"/>
    <w:rsid w:val="004E4454"/>
    <w:rsid w:val="004E6F6F"/>
    <w:rsid w:val="004E7862"/>
    <w:rsid w:val="004F0826"/>
    <w:rsid w:val="004F7154"/>
    <w:rsid w:val="0050458B"/>
    <w:rsid w:val="00507197"/>
    <w:rsid w:val="00512CDF"/>
    <w:rsid w:val="00513D3A"/>
    <w:rsid w:val="00517614"/>
    <w:rsid w:val="00521928"/>
    <w:rsid w:val="00521C49"/>
    <w:rsid w:val="00521FBA"/>
    <w:rsid w:val="00522010"/>
    <w:rsid w:val="00526BF6"/>
    <w:rsid w:val="00527146"/>
    <w:rsid w:val="0053195E"/>
    <w:rsid w:val="005338D8"/>
    <w:rsid w:val="005368ED"/>
    <w:rsid w:val="00537B85"/>
    <w:rsid w:val="005410F4"/>
    <w:rsid w:val="00542376"/>
    <w:rsid w:val="00543079"/>
    <w:rsid w:val="00543807"/>
    <w:rsid w:val="00544208"/>
    <w:rsid w:val="00551013"/>
    <w:rsid w:val="00552EB4"/>
    <w:rsid w:val="00554AF1"/>
    <w:rsid w:val="00554F13"/>
    <w:rsid w:val="00555AB5"/>
    <w:rsid w:val="00556421"/>
    <w:rsid w:val="00560F3B"/>
    <w:rsid w:val="00561F46"/>
    <w:rsid w:val="00564858"/>
    <w:rsid w:val="00566C55"/>
    <w:rsid w:val="00573F72"/>
    <w:rsid w:val="00574082"/>
    <w:rsid w:val="005752D5"/>
    <w:rsid w:val="00580DE6"/>
    <w:rsid w:val="005815E1"/>
    <w:rsid w:val="0058364F"/>
    <w:rsid w:val="00583900"/>
    <w:rsid w:val="005929B5"/>
    <w:rsid w:val="005931B9"/>
    <w:rsid w:val="00593B13"/>
    <w:rsid w:val="00595900"/>
    <w:rsid w:val="005A07D5"/>
    <w:rsid w:val="005A2631"/>
    <w:rsid w:val="005A2821"/>
    <w:rsid w:val="005A40CD"/>
    <w:rsid w:val="005B0910"/>
    <w:rsid w:val="005B175F"/>
    <w:rsid w:val="005B1D1A"/>
    <w:rsid w:val="005B3FC2"/>
    <w:rsid w:val="005B5390"/>
    <w:rsid w:val="005B574A"/>
    <w:rsid w:val="005B5B98"/>
    <w:rsid w:val="005B7C67"/>
    <w:rsid w:val="005C3B59"/>
    <w:rsid w:val="005C484D"/>
    <w:rsid w:val="005C74E6"/>
    <w:rsid w:val="005D1EA2"/>
    <w:rsid w:val="005D3D4A"/>
    <w:rsid w:val="005E06E7"/>
    <w:rsid w:val="005E1916"/>
    <w:rsid w:val="005E2A7B"/>
    <w:rsid w:val="005F058A"/>
    <w:rsid w:val="005F6D23"/>
    <w:rsid w:val="005F6F20"/>
    <w:rsid w:val="006029D3"/>
    <w:rsid w:val="00603593"/>
    <w:rsid w:val="00603D2C"/>
    <w:rsid w:val="006062C7"/>
    <w:rsid w:val="00612983"/>
    <w:rsid w:val="00620C14"/>
    <w:rsid w:val="00620C7B"/>
    <w:rsid w:val="006219FB"/>
    <w:rsid w:val="00622A7D"/>
    <w:rsid w:val="00622B16"/>
    <w:rsid w:val="00623C2C"/>
    <w:rsid w:val="00631733"/>
    <w:rsid w:val="006320CF"/>
    <w:rsid w:val="00636A07"/>
    <w:rsid w:val="00640AF4"/>
    <w:rsid w:val="00641D4D"/>
    <w:rsid w:val="006455F2"/>
    <w:rsid w:val="006458CE"/>
    <w:rsid w:val="00647442"/>
    <w:rsid w:val="00653C26"/>
    <w:rsid w:val="00662794"/>
    <w:rsid w:val="0066347A"/>
    <w:rsid w:val="00664BDF"/>
    <w:rsid w:val="00665298"/>
    <w:rsid w:val="006655C3"/>
    <w:rsid w:val="006669DF"/>
    <w:rsid w:val="00671908"/>
    <w:rsid w:val="00671A77"/>
    <w:rsid w:val="006725B0"/>
    <w:rsid w:val="00675DA4"/>
    <w:rsid w:val="00675F11"/>
    <w:rsid w:val="006807D1"/>
    <w:rsid w:val="00680D98"/>
    <w:rsid w:val="00683B4E"/>
    <w:rsid w:val="00684801"/>
    <w:rsid w:val="0068615D"/>
    <w:rsid w:val="006912CD"/>
    <w:rsid w:val="00692C1A"/>
    <w:rsid w:val="006A1B04"/>
    <w:rsid w:val="006A1D60"/>
    <w:rsid w:val="006A2053"/>
    <w:rsid w:val="006A63E9"/>
    <w:rsid w:val="006B0D6F"/>
    <w:rsid w:val="006B0E6D"/>
    <w:rsid w:val="006B3288"/>
    <w:rsid w:val="006C0741"/>
    <w:rsid w:val="006C0D86"/>
    <w:rsid w:val="006C6F13"/>
    <w:rsid w:val="006C7995"/>
    <w:rsid w:val="006E2A4A"/>
    <w:rsid w:val="006E45F6"/>
    <w:rsid w:val="00701B50"/>
    <w:rsid w:val="0070477B"/>
    <w:rsid w:val="00710328"/>
    <w:rsid w:val="00717039"/>
    <w:rsid w:val="00725712"/>
    <w:rsid w:val="007311D1"/>
    <w:rsid w:val="00732DA8"/>
    <w:rsid w:val="0073402F"/>
    <w:rsid w:val="00736A54"/>
    <w:rsid w:val="00737B20"/>
    <w:rsid w:val="007401CB"/>
    <w:rsid w:val="007405CF"/>
    <w:rsid w:val="00743AD6"/>
    <w:rsid w:val="00743AE7"/>
    <w:rsid w:val="007466E7"/>
    <w:rsid w:val="0075117C"/>
    <w:rsid w:val="007517A9"/>
    <w:rsid w:val="0076549D"/>
    <w:rsid w:val="00771B2F"/>
    <w:rsid w:val="007804BB"/>
    <w:rsid w:val="00781533"/>
    <w:rsid w:val="00782CB2"/>
    <w:rsid w:val="00783A1A"/>
    <w:rsid w:val="00783AEC"/>
    <w:rsid w:val="00787973"/>
    <w:rsid w:val="007906CA"/>
    <w:rsid w:val="00790A08"/>
    <w:rsid w:val="00793F64"/>
    <w:rsid w:val="0079503C"/>
    <w:rsid w:val="007963D9"/>
    <w:rsid w:val="00797F0D"/>
    <w:rsid w:val="007A0A50"/>
    <w:rsid w:val="007B67EB"/>
    <w:rsid w:val="007B6A2A"/>
    <w:rsid w:val="007C3090"/>
    <w:rsid w:val="007D4653"/>
    <w:rsid w:val="007D5B21"/>
    <w:rsid w:val="007D62D7"/>
    <w:rsid w:val="007E25E9"/>
    <w:rsid w:val="007E31C1"/>
    <w:rsid w:val="007F163D"/>
    <w:rsid w:val="007F2DB7"/>
    <w:rsid w:val="0080085B"/>
    <w:rsid w:val="00801B88"/>
    <w:rsid w:val="00806BFF"/>
    <w:rsid w:val="0081013B"/>
    <w:rsid w:val="00813170"/>
    <w:rsid w:val="00814C68"/>
    <w:rsid w:val="00815815"/>
    <w:rsid w:val="00821AD0"/>
    <w:rsid w:val="0082472B"/>
    <w:rsid w:val="0082591A"/>
    <w:rsid w:val="0082598E"/>
    <w:rsid w:val="00826007"/>
    <w:rsid w:val="00841900"/>
    <w:rsid w:val="0084333E"/>
    <w:rsid w:val="00845A87"/>
    <w:rsid w:val="00845D9D"/>
    <w:rsid w:val="00851356"/>
    <w:rsid w:val="008613CC"/>
    <w:rsid w:val="00862A71"/>
    <w:rsid w:val="008631EE"/>
    <w:rsid w:val="008676EA"/>
    <w:rsid w:val="00870659"/>
    <w:rsid w:val="008718BA"/>
    <w:rsid w:val="0087223C"/>
    <w:rsid w:val="00872DC4"/>
    <w:rsid w:val="008732D7"/>
    <w:rsid w:val="0088118A"/>
    <w:rsid w:val="008813DE"/>
    <w:rsid w:val="00884FFA"/>
    <w:rsid w:val="00892BC7"/>
    <w:rsid w:val="008940A2"/>
    <w:rsid w:val="0089412E"/>
    <w:rsid w:val="008955AD"/>
    <w:rsid w:val="008A1F3D"/>
    <w:rsid w:val="008A4CC5"/>
    <w:rsid w:val="008B10A0"/>
    <w:rsid w:val="008B129A"/>
    <w:rsid w:val="008B3A8C"/>
    <w:rsid w:val="008B5585"/>
    <w:rsid w:val="008B5739"/>
    <w:rsid w:val="008B665E"/>
    <w:rsid w:val="008B6B3A"/>
    <w:rsid w:val="008B7A40"/>
    <w:rsid w:val="008B7DF8"/>
    <w:rsid w:val="008C2119"/>
    <w:rsid w:val="008C2D04"/>
    <w:rsid w:val="008C6A44"/>
    <w:rsid w:val="008C78CC"/>
    <w:rsid w:val="008D4B30"/>
    <w:rsid w:val="008D538C"/>
    <w:rsid w:val="008E5042"/>
    <w:rsid w:val="008E520A"/>
    <w:rsid w:val="008E5823"/>
    <w:rsid w:val="008F09F3"/>
    <w:rsid w:val="008F0FFF"/>
    <w:rsid w:val="008F243E"/>
    <w:rsid w:val="008F3ECF"/>
    <w:rsid w:val="008F4CB8"/>
    <w:rsid w:val="0090040D"/>
    <w:rsid w:val="00903EA6"/>
    <w:rsid w:val="00906E87"/>
    <w:rsid w:val="00907E30"/>
    <w:rsid w:val="00911BD3"/>
    <w:rsid w:val="00912897"/>
    <w:rsid w:val="00912BAD"/>
    <w:rsid w:val="00925F7F"/>
    <w:rsid w:val="009264DE"/>
    <w:rsid w:val="0092654A"/>
    <w:rsid w:val="00926B32"/>
    <w:rsid w:val="0093158F"/>
    <w:rsid w:val="009327B1"/>
    <w:rsid w:val="00932857"/>
    <w:rsid w:val="00933553"/>
    <w:rsid w:val="0093371B"/>
    <w:rsid w:val="009339AF"/>
    <w:rsid w:val="00933C82"/>
    <w:rsid w:val="00945664"/>
    <w:rsid w:val="0094658F"/>
    <w:rsid w:val="0095158C"/>
    <w:rsid w:val="00952EB1"/>
    <w:rsid w:val="00954671"/>
    <w:rsid w:val="009550B9"/>
    <w:rsid w:val="009560B0"/>
    <w:rsid w:val="009637CB"/>
    <w:rsid w:val="00966B06"/>
    <w:rsid w:val="009702F9"/>
    <w:rsid w:val="009704D8"/>
    <w:rsid w:val="0097262B"/>
    <w:rsid w:val="0097309D"/>
    <w:rsid w:val="009741A7"/>
    <w:rsid w:val="0097536F"/>
    <w:rsid w:val="009770AF"/>
    <w:rsid w:val="00977859"/>
    <w:rsid w:val="00986787"/>
    <w:rsid w:val="0099409C"/>
    <w:rsid w:val="009A0841"/>
    <w:rsid w:val="009A2B16"/>
    <w:rsid w:val="009A3F3E"/>
    <w:rsid w:val="009A52F5"/>
    <w:rsid w:val="009A7CED"/>
    <w:rsid w:val="009B1FBA"/>
    <w:rsid w:val="009B2845"/>
    <w:rsid w:val="009B5ADB"/>
    <w:rsid w:val="009C2617"/>
    <w:rsid w:val="009C4602"/>
    <w:rsid w:val="009C54AB"/>
    <w:rsid w:val="009C6F1B"/>
    <w:rsid w:val="009D3D40"/>
    <w:rsid w:val="009D402D"/>
    <w:rsid w:val="009D4584"/>
    <w:rsid w:val="009D61FA"/>
    <w:rsid w:val="009E15A7"/>
    <w:rsid w:val="009E50A5"/>
    <w:rsid w:val="009E5448"/>
    <w:rsid w:val="009F3959"/>
    <w:rsid w:val="009F4585"/>
    <w:rsid w:val="009F4A28"/>
    <w:rsid w:val="009F52ED"/>
    <w:rsid w:val="00A05EA6"/>
    <w:rsid w:val="00A13CC5"/>
    <w:rsid w:val="00A15574"/>
    <w:rsid w:val="00A20AC5"/>
    <w:rsid w:val="00A23072"/>
    <w:rsid w:val="00A23B66"/>
    <w:rsid w:val="00A27EFF"/>
    <w:rsid w:val="00A35D8F"/>
    <w:rsid w:val="00A456A9"/>
    <w:rsid w:val="00A501D7"/>
    <w:rsid w:val="00A56025"/>
    <w:rsid w:val="00A6092F"/>
    <w:rsid w:val="00A610C8"/>
    <w:rsid w:val="00A63B31"/>
    <w:rsid w:val="00A72BDF"/>
    <w:rsid w:val="00A72DCA"/>
    <w:rsid w:val="00A74FF4"/>
    <w:rsid w:val="00A82E47"/>
    <w:rsid w:val="00A82E48"/>
    <w:rsid w:val="00A8723F"/>
    <w:rsid w:val="00A92C2C"/>
    <w:rsid w:val="00A94889"/>
    <w:rsid w:val="00A97802"/>
    <w:rsid w:val="00A97AF0"/>
    <w:rsid w:val="00AA1C8C"/>
    <w:rsid w:val="00AA39A7"/>
    <w:rsid w:val="00AA7B44"/>
    <w:rsid w:val="00AB1011"/>
    <w:rsid w:val="00AB1133"/>
    <w:rsid w:val="00AB26B1"/>
    <w:rsid w:val="00AC01B0"/>
    <w:rsid w:val="00AC0636"/>
    <w:rsid w:val="00AC2B0A"/>
    <w:rsid w:val="00AC2E53"/>
    <w:rsid w:val="00AD1E68"/>
    <w:rsid w:val="00AD26BE"/>
    <w:rsid w:val="00AD3F3B"/>
    <w:rsid w:val="00AD46B5"/>
    <w:rsid w:val="00AE0293"/>
    <w:rsid w:val="00AE174F"/>
    <w:rsid w:val="00AF5E91"/>
    <w:rsid w:val="00AF754F"/>
    <w:rsid w:val="00B00241"/>
    <w:rsid w:val="00B02FC7"/>
    <w:rsid w:val="00B04376"/>
    <w:rsid w:val="00B05589"/>
    <w:rsid w:val="00B05D47"/>
    <w:rsid w:val="00B066BD"/>
    <w:rsid w:val="00B131AA"/>
    <w:rsid w:val="00B15E1D"/>
    <w:rsid w:val="00B172E7"/>
    <w:rsid w:val="00B240D8"/>
    <w:rsid w:val="00B251D4"/>
    <w:rsid w:val="00B2671E"/>
    <w:rsid w:val="00B27014"/>
    <w:rsid w:val="00B274D3"/>
    <w:rsid w:val="00B308F5"/>
    <w:rsid w:val="00B3549D"/>
    <w:rsid w:val="00B41270"/>
    <w:rsid w:val="00B418E2"/>
    <w:rsid w:val="00B45EE3"/>
    <w:rsid w:val="00B618D6"/>
    <w:rsid w:val="00B620E8"/>
    <w:rsid w:val="00B64175"/>
    <w:rsid w:val="00B65E0B"/>
    <w:rsid w:val="00B6689F"/>
    <w:rsid w:val="00B7047E"/>
    <w:rsid w:val="00B708B5"/>
    <w:rsid w:val="00B740C1"/>
    <w:rsid w:val="00B80898"/>
    <w:rsid w:val="00B817FE"/>
    <w:rsid w:val="00B83029"/>
    <w:rsid w:val="00B870B9"/>
    <w:rsid w:val="00B90997"/>
    <w:rsid w:val="00B95A6D"/>
    <w:rsid w:val="00B963F3"/>
    <w:rsid w:val="00B97B8E"/>
    <w:rsid w:val="00B97E71"/>
    <w:rsid w:val="00BA0F72"/>
    <w:rsid w:val="00BA300B"/>
    <w:rsid w:val="00BA4309"/>
    <w:rsid w:val="00BA49C3"/>
    <w:rsid w:val="00BB1474"/>
    <w:rsid w:val="00BB6C25"/>
    <w:rsid w:val="00BC49EF"/>
    <w:rsid w:val="00BD09DE"/>
    <w:rsid w:val="00BD0E92"/>
    <w:rsid w:val="00BD11C5"/>
    <w:rsid w:val="00BD26C6"/>
    <w:rsid w:val="00BD41CE"/>
    <w:rsid w:val="00BE0B7F"/>
    <w:rsid w:val="00BE1D4B"/>
    <w:rsid w:val="00BE4985"/>
    <w:rsid w:val="00BE6374"/>
    <w:rsid w:val="00BE6738"/>
    <w:rsid w:val="00BF2D9D"/>
    <w:rsid w:val="00BF2E59"/>
    <w:rsid w:val="00BF5390"/>
    <w:rsid w:val="00BF54D3"/>
    <w:rsid w:val="00C000A6"/>
    <w:rsid w:val="00C00F37"/>
    <w:rsid w:val="00C02A2A"/>
    <w:rsid w:val="00C053D6"/>
    <w:rsid w:val="00C06F6E"/>
    <w:rsid w:val="00C1031C"/>
    <w:rsid w:val="00C10336"/>
    <w:rsid w:val="00C10D6B"/>
    <w:rsid w:val="00C13AAC"/>
    <w:rsid w:val="00C17001"/>
    <w:rsid w:val="00C20F0F"/>
    <w:rsid w:val="00C23584"/>
    <w:rsid w:val="00C26031"/>
    <w:rsid w:val="00C26FA8"/>
    <w:rsid w:val="00C3163E"/>
    <w:rsid w:val="00C334DC"/>
    <w:rsid w:val="00C35B67"/>
    <w:rsid w:val="00C36B27"/>
    <w:rsid w:val="00C36C1D"/>
    <w:rsid w:val="00C403A2"/>
    <w:rsid w:val="00C414F4"/>
    <w:rsid w:val="00C42658"/>
    <w:rsid w:val="00C434C7"/>
    <w:rsid w:val="00C536B5"/>
    <w:rsid w:val="00C54225"/>
    <w:rsid w:val="00C60DE7"/>
    <w:rsid w:val="00C616CD"/>
    <w:rsid w:val="00C6186A"/>
    <w:rsid w:val="00C67055"/>
    <w:rsid w:val="00C675E5"/>
    <w:rsid w:val="00C72FC2"/>
    <w:rsid w:val="00C7605B"/>
    <w:rsid w:val="00C8500E"/>
    <w:rsid w:val="00C85151"/>
    <w:rsid w:val="00C85EB7"/>
    <w:rsid w:val="00C90172"/>
    <w:rsid w:val="00C94406"/>
    <w:rsid w:val="00C94635"/>
    <w:rsid w:val="00C973F6"/>
    <w:rsid w:val="00CA1D7F"/>
    <w:rsid w:val="00CA4A8A"/>
    <w:rsid w:val="00CB02DB"/>
    <w:rsid w:val="00CB09AA"/>
    <w:rsid w:val="00CB4766"/>
    <w:rsid w:val="00CB536D"/>
    <w:rsid w:val="00CB766F"/>
    <w:rsid w:val="00CB7685"/>
    <w:rsid w:val="00CC0EF3"/>
    <w:rsid w:val="00CC12B0"/>
    <w:rsid w:val="00CC6052"/>
    <w:rsid w:val="00CD1A9E"/>
    <w:rsid w:val="00CD5653"/>
    <w:rsid w:val="00CE0E37"/>
    <w:rsid w:val="00CE34D9"/>
    <w:rsid w:val="00CF1BFD"/>
    <w:rsid w:val="00CF3F12"/>
    <w:rsid w:val="00CF4395"/>
    <w:rsid w:val="00CF7937"/>
    <w:rsid w:val="00CF7EFF"/>
    <w:rsid w:val="00D002BC"/>
    <w:rsid w:val="00D00D03"/>
    <w:rsid w:val="00D02BBA"/>
    <w:rsid w:val="00D04E89"/>
    <w:rsid w:val="00D14A65"/>
    <w:rsid w:val="00D212CC"/>
    <w:rsid w:val="00D2522F"/>
    <w:rsid w:val="00D3716D"/>
    <w:rsid w:val="00D37D7D"/>
    <w:rsid w:val="00D40006"/>
    <w:rsid w:val="00D446C5"/>
    <w:rsid w:val="00D47E50"/>
    <w:rsid w:val="00D520B8"/>
    <w:rsid w:val="00D54846"/>
    <w:rsid w:val="00D565E7"/>
    <w:rsid w:val="00D64E9B"/>
    <w:rsid w:val="00D708B9"/>
    <w:rsid w:val="00D71100"/>
    <w:rsid w:val="00D714D9"/>
    <w:rsid w:val="00D71714"/>
    <w:rsid w:val="00D73394"/>
    <w:rsid w:val="00D75DD1"/>
    <w:rsid w:val="00D77EBE"/>
    <w:rsid w:val="00D807CD"/>
    <w:rsid w:val="00D828DB"/>
    <w:rsid w:val="00D85424"/>
    <w:rsid w:val="00D977EC"/>
    <w:rsid w:val="00DA554D"/>
    <w:rsid w:val="00DB2692"/>
    <w:rsid w:val="00DB43C3"/>
    <w:rsid w:val="00DB7C77"/>
    <w:rsid w:val="00DC0AE4"/>
    <w:rsid w:val="00DC22C1"/>
    <w:rsid w:val="00DD29C3"/>
    <w:rsid w:val="00DD4D7C"/>
    <w:rsid w:val="00DD6A7F"/>
    <w:rsid w:val="00DE21D2"/>
    <w:rsid w:val="00DE4909"/>
    <w:rsid w:val="00DE6464"/>
    <w:rsid w:val="00DE7741"/>
    <w:rsid w:val="00DE78E5"/>
    <w:rsid w:val="00DF4D72"/>
    <w:rsid w:val="00E024F4"/>
    <w:rsid w:val="00E032D2"/>
    <w:rsid w:val="00E05103"/>
    <w:rsid w:val="00E05839"/>
    <w:rsid w:val="00E067F4"/>
    <w:rsid w:val="00E13010"/>
    <w:rsid w:val="00E14CB0"/>
    <w:rsid w:val="00E17846"/>
    <w:rsid w:val="00E20351"/>
    <w:rsid w:val="00E20AD9"/>
    <w:rsid w:val="00E25B1C"/>
    <w:rsid w:val="00E279F2"/>
    <w:rsid w:val="00E323FB"/>
    <w:rsid w:val="00E32507"/>
    <w:rsid w:val="00E347DE"/>
    <w:rsid w:val="00E41429"/>
    <w:rsid w:val="00E41507"/>
    <w:rsid w:val="00E428E5"/>
    <w:rsid w:val="00E44345"/>
    <w:rsid w:val="00E44999"/>
    <w:rsid w:val="00E471E6"/>
    <w:rsid w:val="00E501D8"/>
    <w:rsid w:val="00E54A31"/>
    <w:rsid w:val="00E55737"/>
    <w:rsid w:val="00E62F72"/>
    <w:rsid w:val="00E73407"/>
    <w:rsid w:val="00E73A8B"/>
    <w:rsid w:val="00E740AD"/>
    <w:rsid w:val="00E80A72"/>
    <w:rsid w:val="00E87377"/>
    <w:rsid w:val="00E905B1"/>
    <w:rsid w:val="00E95DC5"/>
    <w:rsid w:val="00EA4E8A"/>
    <w:rsid w:val="00EA6BC2"/>
    <w:rsid w:val="00EB2890"/>
    <w:rsid w:val="00EB4E22"/>
    <w:rsid w:val="00EB70FC"/>
    <w:rsid w:val="00EC0955"/>
    <w:rsid w:val="00EC0D9B"/>
    <w:rsid w:val="00ED10A1"/>
    <w:rsid w:val="00ED1D0F"/>
    <w:rsid w:val="00ED6AE2"/>
    <w:rsid w:val="00ED7A46"/>
    <w:rsid w:val="00EE0742"/>
    <w:rsid w:val="00EF2DD2"/>
    <w:rsid w:val="00F000D9"/>
    <w:rsid w:val="00F06976"/>
    <w:rsid w:val="00F06E40"/>
    <w:rsid w:val="00F108AB"/>
    <w:rsid w:val="00F1216F"/>
    <w:rsid w:val="00F135BF"/>
    <w:rsid w:val="00F20EA1"/>
    <w:rsid w:val="00F2113A"/>
    <w:rsid w:val="00F25F67"/>
    <w:rsid w:val="00F26D11"/>
    <w:rsid w:val="00F31220"/>
    <w:rsid w:val="00F324BE"/>
    <w:rsid w:val="00F40B38"/>
    <w:rsid w:val="00F437C6"/>
    <w:rsid w:val="00F43CFC"/>
    <w:rsid w:val="00F44F97"/>
    <w:rsid w:val="00F46CA0"/>
    <w:rsid w:val="00F5041D"/>
    <w:rsid w:val="00F51B83"/>
    <w:rsid w:val="00F54540"/>
    <w:rsid w:val="00F5598B"/>
    <w:rsid w:val="00F624EA"/>
    <w:rsid w:val="00F63257"/>
    <w:rsid w:val="00F634A9"/>
    <w:rsid w:val="00F635DE"/>
    <w:rsid w:val="00F63CB9"/>
    <w:rsid w:val="00F66829"/>
    <w:rsid w:val="00F67891"/>
    <w:rsid w:val="00F74780"/>
    <w:rsid w:val="00F760CF"/>
    <w:rsid w:val="00F77A3F"/>
    <w:rsid w:val="00F77F15"/>
    <w:rsid w:val="00F77FAA"/>
    <w:rsid w:val="00F810EC"/>
    <w:rsid w:val="00F8290D"/>
    <w:rsid w:val="00F85F87"/>
    <w:rsid w:val="00F86D52"/>
    <w:rsid w:val="00F878EE"/>
    <w:rsid w:val="00F902F3"/>
    <w:rsid w:val="00F9399D"/>
    <w:rsid w:val="00F93F6F"/>
    <w:rsid w:val="00F94D86"/>
    <w:rsid w:val="00F977E6"/>
    <w:rsid w:val="00FA15B5"/>
    <w:rsid w:val="00FA292E"/>
    <w:rsid w:val="00FA465F"/>
    <w:rsid w:val="00FA5694"/>
    <w:rsid w:val="00FB0C03"/>
    <w:rsid w:val="00FB1E23"/>
    <w:rsid w:val="00FB640E"/>
    <w:rsid w:val="00FB663A"/>
    <w:rsid w:val="00FB6A4F"/>
    <w:rsid w:val="00FC0BA3"/>
    <w:rsid w:val="00FC6376"/>
    <w:rsid w:val="00FE2CC5"/>
    <w:rsid w:val="00FE32A0"/>
    <w:rsid w:val="00FE6595"/>
    <w:rsid w:val="00FF3725"/>
    <w:rsid w:val="00FF4D29"/>
    <w:rsid w:val="00FF5367"/>
    <w:rsid w:val="00FF53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D786B"/>
    <w:pPr>
      <w:spacing w:after="200" w:line="276" w:lineRule="auto"/>
    </w:pPr>
    <w:rPr>
      <w:sz w:val="22"/>
      <w:szCs w:val="22"/>
    </w:rPr>
  </w:style>
  <w:style w:type="paragraph" w:styleId="Heading1">
    <w:name w:val="heading 1"/>
    <w:basedOn w:val="Normal"/>
    <w:next w:val="Normal"/>
    <w:link w:val="Heading1Char"/>
    <w:uiPriority w:val="99"/>
    <w:qFormat/>
    <w:rsid w:val="007466E7"/>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7466E7"/>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7466E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477618"/>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4574A4"/>
    <w:pPr>
      <w:keepNext/>
      <w:keepLines/>
      <w:spacing w:before="200" w:after="0"/>
      <w:outlineLvl w:val="4"/>
    </w:pPr>
    <w:rPr>
      <w:rFonts w:ascii="Cambria" w:hAnsi="Cambria"/>
      <w:color w:val="243F60"/>
    </w:rPr>
  </w:style>
  <w:style w:type="paragraph" w:styleId="Heading9">
    <w:name w:val="heading 9"/>
    <w:basedOn w:val="Normal"/>
    <w:next w:val="Normal"/>
    <w:link w:val="Heading9Char"/>
    <w:uiPriority w:val="99"/>
    <w:qFormat/>
    <w:rsid w:val="00F25F67"/>
    <w:pPr>
      <w:keepNext/>
      <w:spacing w:after="0" w:line="240" w:lineRule="auto"/>
      <w:outlineLvl w:val="8"/>
    </w:pPr>
    <w:rPr>
      <w:rFonts w:ascii="Bookman" w:hAnsi="Book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66E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466E7"/>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466E7"/>
    <w:rPr>
      <w:rFonts w:ascii="Cambria" w:hAnsi="Cambria" w:cs="Times New Roman"/>
      <w:b/>
      <w:bCs/>
      <w:color w:val="4F81BD"/>
    </w:rPr>
  </w:style>
  <w:style w:type="character" w:customStyle="1" w:styleId="Heading4Char">
    <w:name w:val="Heading 4 Char"/>
    <w:basedOn w:val="DefaultParagraphFont"/>
    <w:link w:val="Heading4"/>
    <w:uiPriority w:val="99"/>
    <w:locked/>
    <w:rsid w:val="00477618"/>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4574A4"/>
    <w:rPr>
      <w:rFonts w:ascii="Cambria" w:hAnsi="Cambria" w:cs="Times New Roman"/>
      <w:color w:val="243F60"/>
    </w:rPr>
  </w:style>
  <w:style w:type="character" w:customStyle="1" w:styleId="Heading9Char">
    <w:name w:val="Heading 9 Char"/>
    <w:basedOn w:val="DefaultParagraphFont"/>
    <w:link w:val="Heading9"/>
    <w:uiPriority w:val="99"/>
    <w:locked/>
    <w:rsid w:val="00F25F67"/>
    <w:rPr>
      <w:rFonts w:ascii="Bookman" w:hAnsi="Bookman" w:cs="Times New Roman"/>
      <w:i/>
      <w:iCs/>
      <w:sz w:val="20"/>
      <w:szCs w:val="20"/>
    </w:rPr>
  </w:style>
  <w:style w:type="paragraph" w:styleId="FootnoteText">
    <w:name w:val="footnote text"/>
    <w:basedOn w:val="Normal"/>
    <w:link w:val="FootnoteTextChar"/>
    <w:uiPriority w:val="99"/>
    <w:semiHidden/>
    <w:rsid w:val="00AF754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F754F"/>
    <w:rPr>
      <w:rFonts w:cs="Times New Roman"/>
      <w:sz w:val="20"/>
      <w:szCs w:val="20"/>
    </w:rPr>
  </w:style>
  <w:style w:type="character" w:styleId="FootnoteReference">
    <w:name w:val="footnote reference"/>
    <w:basedOn w:val="DefaultParagraphFont"/>
    <w:uiPriority w:val="99"/>
    <w:semiHidden/>
    <w:rsid w:val="00AF754F"/>
    <w:rPr>
      <w:rFonts w:cs="Times New Roman"/>
      <w:vertAlign w:val="superscript"/>
    </w:rPr>
  </w:style>
  <w:style w:type="paragraph" w:styleId="BalloonText">
    <w:name w:val="Balloon Text"/>
    <w:basedOn w:val="Normal"/>
    <w:link w:val="BalloonTextChar"/>
    <w:uiPriority w:val="99"/>
    <w:semiHidden/>
    <w:rsid w:val="00731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1D1"/>
    <w:rPr>
      <w:rFonts w:ascii="Tahoma" w:hAnsi="Tahoma" w:cs="Tahoma"/>
      <w:sz w:val="16"/>
      <w:szCs w:val="16"/>
    </w:rPr>
  </w:style>
  <w:style w:type="paragraph" w:styleId="Header">
    <w:name w:val="header"/>
    <w:basedOn w:val="Normal"/>
    <w:link w:val="HeaderChar"/>
    <w:uiPriority w:val="99"/>
    <w:rsid w:val="000160B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160BA"/>
    <w:rPr>
      <w:rFonts w:cs="Times New Roman"/>
    </w:rPr>
  </w:style>
  <w:style w:type="paragraph" w:styleId="Footer">
    <w:name w:val="footer"/>
    <w:basedOn w:val="Normal"/>
    <w:link w:val="FooterChar"/>
    <w:uiPriority w:val="99"/>
    <w:rsid w:val="000160B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160BA"/>
    <w:rPr>
      <w:rFonts w:cs="Times New Roman"/>
    </w:rPr>
  </w:style>
  <w:style w:type="paragraph" w:styleId="ListParagraph">
    <w:name w:val="List Paragraph"/>
    <w:basedOn w:val="Normal"/>
    <w:uiPriority w:val="99"/>
    <w:qFormat/>
    <w:rsid w:val="004B647B"/>
    <w:pPr>
      <w:ind w:left="720"/>
      <w:contextualSpacing/>
    </w:pPr>
  </w:style>
  <w:style w:type="paragraph" w:customStyle="1" w:styleId="Default">
    <w:name w:val="Default"/>
    <w:uiPriority w:val="99"/>
    <w:rsid w:val="005929B5"/>
    <w:pPr>
      <w:autoSpaceDE w:val="0"/>
      <w:autoSpaceDN w:val="0"/>
      <w:adjustRightInd w:val="0"/>
    </w:pPr>
    <w:rPr>
      <w:rFonts w:cs="Calibri"/>
      <w:color w:val="000000"/>
      <w:sz w:val="24"/>
      <w:szCs w:val="24"/>
    </w:rPr>
  </w:style>
  <w:style w:type="character" w:customStyle="1" w:styleId="question">
    <w:name w:val="question"/>
    <w:uiPriority w:val="99"/>
    <w:rsid w:val="00F25F67"/>
    <w:rPr>
      <w:rFonts w:ascii="AvantGarde" w:hAnsi="AvantGarde"/>
      <w:b/>
      <w:i/>
      <w:lang w:val="en-US"/>
    </w:rPr>
  </w:style>
  <w:style w:type="paragraph" w:styleId="BodyText3">
    <w:name w:val="Body Text 3"/>
    <w:basedOn w:val="Normal"/>
    <w:link w:val="BodyText3Char"/>
    <w:uiPriority w:val="99"/>
    <w:rsid w:val="00F25F67"/>
    <w:pPr>
      <w:tabs>
        <w:tab w:val="left" w:pos="1440"/>
        <w:tab w:val="left" w:pos="2160"/>
      </w:tabs>
      <w:overflowPunct w:val="0"/>
      <w:autoSpaceDE w:val="0"/>
      <w:autoSpaceDN w:val="0"/>
      <w:adjustRightInd w:val="0"/>
      <w:spacing w:after="0" w:line="290" w:lineRule="exact"/>
      <w:jc w:val="both"/>
      <w:textAlignment w:val="baseline"/>
    </w:pPr>
    <w:rPr>
      <w:rFonts w:ascii="Bookman Old Style" w:hAnsi="Bookman Old Style"/>
      <w:szCs w:val="20"/>
    </w:rPr>
  </w:style>
  <w:style w:type="character" w:customStyle="1" w:styleId="BodyText3Char">
    <w:name w:val="Body Text 3 Char"/>
    <w:basedOn w:val="DefaultParagraphFont"/>
    <w:link w:val="BodyText3"/>
    <w:uiPriority w:val="99"/>
    <w:locked/>
    <w:rsid w:val="00F25F67"/>
    <w:rPr>
      <w:rFonts w:ascii="Bookman Old Style" w:hAnsi="Bookman Old Style" w:cs="Times New Roman"/>
      <w:sz w:val="20"/>
      <w:szCs w:val="20"/>
    </w:rPr>
  </w:style>
  <w:style w:type="paragraph" w:styleId="BlockText">
    <w:name w:val="Block Text"/>
    <w:basedOn w:val="Normal"/>
    <w:uiPriority w:val="99"/>
    <w:rsid w:val="00F25F67"/>
    <w:pPr>
      <w:tabs>
        <w:tab w:val="right" w:pos="720"/>
        <w:tab w:val="left" w:pos="1008"/>
      </w:tabs>
      <w:spacing w:after="0" w:line="240" w:lineRule="auto"/>
      <w:ind w:left="1008" w:right="1008" w:hanging="1008"/>
    </w:pPr>
    <w:rPr>
      <w:rFonts w:ascii="Bookman Old Style" w:hAnsi="Bookman Old Style"/>
      <w:szCs w:val="20"/>
    </w:rPr>
  </w:style>
  <w:style w:type="character" w:styleId="PageNumber">
    <w:name w:val="page number"/>
    <w:basedOn w:val="DefaultParagraphFont"/>
    <w:uiPriority w:val="99"/>
    <w:rsid w:val="00F25F67"/>
    <w:rPr>
      <w:rFonts w:cs="Times New Roman"/>
    </w:rPr>
  </w:style>
  <w:style w:type="paragraph" w:styleId="BodyText2">
    <w:name w:val="Body Text 2"/>
    <w:basedOn w:val="Normal"/>
    <w:link w:val="BodyText2Char"/>
    <w:uiPriority w:val="99"/>
    <w:rsid w:val="00F25F67"/>
    <w:pPr>
      <w:spacing w:after="0" w:line="240" w:lineRule="auto"/>
    </w:pPr>
    <w:rPr>
      <w:rFonts w:ascii="Arial" w:hAnsi="Arial"/>
      <w:color w:val="008080"/>
      <w:sz w:val="20"/>
      <w:szCs w:val="24"/>
    </w:rPr>
  </w:style>
  <w:style w:type="character" w:customStyle="1" w:styleId="BodyText2Char">
    <w:name w:val="Body Text 2 Char"/>
    <w:basedOn w:val="DefaultParagraphFont"/>
    <w:link w:val="BodyText2"/>
    <w:uiPriority w:val="99"/>
    <w:locked/>
    <w:rsid w:val="00F25F67"/>
    <w:rPr>
      <w:rFonts w:ascii="Arial" w:hAnsi="Arial" w:cs="Times New Roman"/>
      <w:color w:val="008080"/>
      <w:sz w:val="24"/>
      <w:szCs w:val="24"/>
    </w:rPr>
  </w:style>
  <w:style w:type="paragraph" w:styleId="Caption">
    <w:name w:val="caption"/>
    <w:basedOn w:val="Normal"/>
    <w:next w:val="Normal"/>
    <w:uiPriority w:val="99"/>
    <w:qFormat/>
    <w:rsid w:val="00F25F67"/>
    <w:pPr>
      <w:keepNext/>
      <w:keepLines/>
      <w:pBdr>
        <w:bottom w:val="single" w:sz="18" w:space="1" w:color="0000FF"/>
      </w:pBdr>
      <w:tabs>
        <w:tab w:val="left" w:pos="360"/>
      </w:tabs>
      <w:overflowPunct w:val="0"/>
      <w:autoSpaceDE w:val="0"/>
      <w:autoSpaceDN w:val="0"/>
      <w:adjustRightInd w:val="0"/>
      <w:spacing w:before="480" w:after="120" w:line="240" w:lineRule="auto"/>
      <w:jc w:val="center"/>
      <w:textAlignment w:val="baseline"/>
    </w:pPr>
    <w:rPr>
      <w:rFonts w:ascii="Futura" w:hAnsi="Futura"/>
      <w:sz w:val="20"/>
      <w:szCs w:val="20"/>
    </w:rPr>
  </w:style>
  <w:style w:type="paragraph" w:styleId="TOCHeading">
    <w:name w:val="TOC Heading"/>
    <w:basedOn w:val="Heading1"/>
    <w:next w:val="Normal"/>
    <w:uiPriority w:val="99"/>
    <w:qFormat/>
    <w:rsid w:val="00477618"/>
    <w:pPr>
      <w:outlineLvl w:val="9"/>
    </w:pPr>
    <w:rPr>
      <w:lang w:eastAsia="ja-JP"/>
    </w:rPr>
  </w:style>
  <w:style w:type="paragraph" w:styleId="TOC2">
    <w:name w:val="toc 2"/>
    <w:basedOn w:val="Normal"/>
    <w:next w:val="Normal"/>
    <w:autoRedefine/>
    <w:uiPriority w:val="99"/>
    <w:rsid w:val="004B16E5"/>
    <w:pPr>
      <w:tabs>
        <w:tab w:val="right" w:leader="dot" w:pos="9350"/>
      </w:tabs>
      <w:spacing w:after="100"/>
      <w:ind w:left="220"/>
    </w:pPr>
  </w:style>
  <w:style w:type="paragraph" w:styleId="TOC3">
    <w:name w:val="toc 3"/>
    <w:basedOn w:val="Normal"/>
    <w:next w:val="Normal"/>
    <w:autoRedefine/>
    <w:uiPriority w:val="99"/>
    <w:rsid w:val="00477618"/>
    <w:pPr>
      <w:spacing w:after="100"/>
      <w:ind w:left="440"/>
    </w:pPr>
  </w:style>
  <w:style w:type="character" w:styleId="Hyperlink">
    <w:name w:val="Hyperlink"/>
    <w:basedOn w:val="DefaultParagraphFont"/>
    <w:uiPriority w:val="99"/>
    <w:rsid w:val="00477618"/>
    <w:rPr>
      <w:rFonts w:cs="Times New Roman"/>
      <w:color w:val="0000FF"/>
      <w:u w:val="single"/>
    </w:rPr>
  </w:style>
  <w:style w:type="character" w:customStyle="1" w:styleId="CommentTextChar">
    <w:name w:val="Comment Text Char"/>
    <w:uiPriority w:val="99"/>
    <w:semiHidden/>
    <w:locked/>
    <w:rsid w:val="00477618"/>
    <w:rPr>
      <w:rFonts w:cs="Times New Roman"/>
      <w:sz w:val="20"/>
      <w:szCs w:val="20"/>
    </w:rPr>
  </w:style>
  <w:style w:type="paragraph" w:styleId="CommentText">
    <w:name w:val="annotation text"/>
    <w:basedOn w:val="Normal"/>
    <w:link w:val="CommentTextChar1"/>
    <w:uiPriority w:val="99"/>
    <w:semiHidden/>
    <w:rsid w:val="00477618"/>
    <w:pPr>
      <w:spacing w:line="240" w:lineRule="auto"/>
    </w:pPr>
    <w:rPr>
      <w:sz w:val="20"/>
      <w:szCs w:val="20"/>
    </w:rPr>
  </w:style>
  <w:style w:type="character" w:customStyle="1" w:styleId="CommentTextChar1">
    <w:name w:val="Comment Text Char1"/>
    <w:basedOn w:val="DefaultParagraphFont"/>
    <w:link w:val="CommentText"/>
    <w:uiPriority w:val="99"/>
    <w:semiHidden/>
    <w:locked/>
    <w:rsid w:val="006B0D6F"/>
    <w:rPr>
      <w:rFonts w:cs="Times New Roman"/>
      <w:sz w:val="20"/>
      <w:szCs w:val="20"/>
    </w:rPr>
  </w:style>
  <w:style w:type="character" w:customStyle="1" w:styleId="CommentSubjectChar">
    <w:name w:val="Comment Subject Char"/>
    <w:uiPriority w:val="99"/>
    <w:semiHidden/>
    <w:locked/>
    <w:rsid w:val="00477618"/>
    <w:rPr>
      <w:rFonts w:cs="Times New Roman"/>
      <w:b/>
      <w:bCs/>
      <w:sz w:val="20"/>
      <w:szCs w:val="20"/>
    </w:rPr>
  </w:style>
  <w:style w:type="paragraph" w:styleId="CommentSubject">
    <w:name w:val="annotation subject"/>
    <w:basedOn w:val="CommentText"/>
    <w:next w:val="CommentText"/>
    <w:link w:val="CommentSubjectChar1"/>
    <w:uiPriority w:val="99"/>
    <w:semiHidden/>
    <w:rsid w:val="00477618"/>
    <w:rPr>
      <w:b/>
      <w:bCs/>
    </w:rPr>
  </w:style>
  <w:style w:type="character" w:customStyle="1" w:styleId="CommentSubjectChar1">
    <w:name w:val="Comment Subject Char1"/>
    <w:basedOn w:val="CommentTextChar"/>
    <w:link w:val="CommentSubject"/>
    <w:uiPriority w:val="99"/>
    <w:semiHidden/>
    <w:locked/>
    <w:rsid w:val="006B0D6F"/>
    <w:rPr>
      <w:b/>
      <w:bCs/>
    </w:rPr>
  </w:style>
  <w:style w:type="table" w:styleId="TableGrid">
    <w:name w:val="Table Grid"/>
    <w:basedOn w:val="TableNormal"/>
    <w:uiPriority w:val="99"/>
    <w:rsid w:val="003D78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0654F8"/>
    <w:rPr>
      <w:sz w:val="22"/>
      <w:szCs w:val="22"/>
    </w:rPr>
  </w:style>
  <w:style w:type="character" w:customStyle="1" w:styleId="NoSpacingChar">
    <w:name w:val="No Spacing Char"/>
    <w:basedOn w:val="DefaultParagraphFont"/>
    <w:link w:val="NoSpacing"/>
    <w:uiPriority w:val="99"/>
    <w:locked/>
    <w:rsid w:val="000654F8"/>
    <w:rPr>
      <w:sz w:val="22"/>
      <w:szCs w:val="22"/>
      <w:lang w:val="en-US" w:eastAsia="en-US" w:bidi="ar-SA"/>
    </w:rPr>
  </w:style>
  <w:style w:type="paragraph" w:styleId="TOC1">
    <w:name w:val="toc 1"/>
    <w:basedOn w:val="Normal"/>
    <w:next w:val="Normal"/>
    <w:autoRedefine/>
    <w:uiPriority w:val="99"/>
    <w:rsid w:val="00DB7C77"/>
    <w:pPr>
      <w:tabs>
        <w:tab w:val="right" w:leader="dot" w:pos="9350"/>
      </w:tabs>
      <w:spacing w:after="100"/>
    </w:pPr>
    <w:rPr>
      <w:rFonts w:ascii="Cambria" w:hAnsi="Cambria"/>
      <w:b/>
      <w:color w:val="4F81BD"/>
      <w:sz w:val="24"/>
      <w:szCs w:val="24"/>
    </w:rPr>
  </w:style>
  <w:style w:type="paragraph" w:styleId="Title">
    <w:name w:val="Title"/>
    <w:basedOn w:val="Normal"/>
    <w:next w:val="Normal"/>
    <w:link w:val="TitleChar"/>
    <w:uiPriority w:val="99"/>
    <w:qFormat/>
    <w:rsid w:val="00D7110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D71100"/>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D7110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D71100"/>
    <w:rPr>
      <w:rFonts w:ascii="Cambria" w:hAnsi="Cambria" w:cs="Times New Roman"/>
      <w:i/>
      <w:iCs/>
      <w:color w:val="4F81BD"/>
      <w:spacing w:val="15"/>
      <w:sz w:val="24"/>
      <w:szCs w:val="24"/>
    </w:rPr>
  </w:style>
  <w:style w:type="paragraph" w:styleId="TOC4">
    <w:name w:val="toc 4"/>
    <w:basedOn w:val="Normal"/>
    <w:next w:val="Normal"/>
    <w:autoRedefine/>
    <w:uiPriority w:val="99"/>
    <w:rsid w:val="00717039"/>
    <w:pPr>
      <w:spacing w:after="100"/>
      <w:ind w:left="660"/>
    </w:pPr>
  </w:style>
  <w:style w:type="character" w:styleId="FollowedHyperlink">
    <w:name w:val="FollowedHyperlink"/>
    <w:basedOn w:val="DefaultParagraphFont"/>
    <w:uiPriority w:val="99"/>
    <w:semiHidden/>
    <w:rsid w:val="002A4C69"/>
    <w:rPr>
      <w:rFonts w:cs="Times New Roman"/>
      <w:color w:val="800080"/>
      <w:u w:val="single"/>
    </w:rPr>
  </w:style>
  <w:style w:type="paragraph" w:customStyle="1" w:styleId="xl67">
    <w:name w:val="xl67"/>
    <w:basedOn w:val="Normal"/>
    <w:uiPriority w:val="99"/>
    <w:rsid w:val="002A4C69"/>
    <w:pPr>
      <w:spacing w:before="100" w:beforeAutospacing="1" w:after="100" w:afterAutospacing="1" w:line="240" w:lineRule="auto"/>
    </w:pPr>
  </w:style>
  <w:style w:type="paragraph" w:customStyle="1" w:styleId="xl68">
    <w:name w:val="xl68"/>
    <w:basedOn w:val="Normal"/>
    <w:uiPriority w:val="99"/>
    <w:rsid w:val="002A4C69"/>
    <w:pPr>
      <w:shd w:val="clear" w:color="000000" w:fill="FFFFFF"/>
      <w:spacing w:before="100" w:beforeAutospacing="1" w:after="100" w:afterAutospacing="1" w:line="240" w:lineRule="auto"/>
    </w:pPr>
  </w:style>
  <w:style w:type="paragraph" w:customStyle="1" w:styleId="xl69">
    <w:name w:val="xl69"/>
    <w:basedOn w:val="Normal"/>
    <w:uiPriority w:val="99"/>
    <w:rsid w:val="002A4C69"/>
    <w:pPr>
      <w:pBdr>
        <w:left w:val="single" w:sz="8" w:space="0" w:color="auto"/>
        <w:bottom w:val="single" w:sz="4" w:space="0" w:color="BFBFBF"/>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Normal"/>
    <w:uiPriority w:val="99"/>
    <w:rsid w:val="002A4C69"/>
    <w:pPr>
      <w:pBdr>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1">
    <w:name w:val="xl71"/>
    <w:basedOn w:val="Normal"/>
    <w:uiPriority w:val="99"/>
    <w:rsid w:val="002A4C69"/>
    <w:pPr>
      <w:pBdr>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2">
    <w:name w:val="xl72"/>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3">
    <w:name w:val="xl73"/>
    <w:basedOn w:val="Normal"/>
    <w:uiPriority w:val="99"/>
    <w:rsid w:val="002A4C69"/>
    <w:pPr>
      <w:pBdr>
        <w:top w:val="single" w:sz="4" w:space="0" w:color="BFBFBF"/>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4">
    <w:name w:val="xl74"/>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5">
    <w:name w:val="xl75"/>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6">
    <w:name w:val="xl76"/>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7">
    <w:name w:val="xl77"/>
    <w:basedOn w:val="Normal"/>
    <w:uiPriority w:val="99"/>
    <w:rsid w:val="002A4C69"/>
    <w:pPr>
      <w:pBdr>
        <w:top w:val="single" w:sz="4" w:space="0" w:color="BFBFBF"/>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80">
    <w:name w:val="xl80"/>
    <w:basedOn w:val="Normal"/>
    <w:uiPriority w:val="99"/>
    <w:rsid w:val="002A4C69"/>
    <w:pPr>
      <w:pBdr>
        <w:top w:val="single" w:sz="4" w:space="0" w:color="BFBFBF"/>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1">
    <w:name w:val="xl81"/>
    <w:basedOn w:val="Normal"/>
    <w:uiPriority w:val="99"/>
    <w:rsid w:val="002A4C69"/>
    <w:pPr>
      <w:pBdr>
        <w:top w:val="single" w:sz="4" w:space="0" w:color="BFBFBF"/>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2">
    <w:name w:val="xl82"/>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3">
    <w:name w:val="xl83"/>
    <w:basedOn w:val="Normal"/>
    <w:uiPriority w:val="99"/>
    <w:rsid w:val="002A4C69"/>
    <w:pPr>
      <w:pBdr>
        <w:top w:val="single" w:sz="4" w:space="0" w:color="BFBFBF"/>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84">
    <w:name w:val="xl84"/>
    <w:basedOn w:val="Normal"/>
    <w:uiPriority w:val="99"/>
    <w:rsid w:val="002A4C69"/>
    <w:pPr>
      <w:pBdr>
        <w:top w:val="single" w:sz="4" w:space="0" w:color="BFBFBF"/>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5">
    <w:name w:val="xl85"/>
    <w:basedOn w:val="Normal"/>
    <w:uiPriority w:val="99"/>
    <w:rsid w:val="002A4C69"/>
    <w:pPr>
      <w:pBdr>
        <w:top w:val="single" w:sz="4" w:space="0" w:color="BFBFB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6">
    <w:name w:val="xl86"/>
    <w:basedOn w:val="Normal"/>
    <w:uiPriority w:val="99"/>
    <w:rsid w:val="002A4C69"/>
    <w:pPr>
      <w:pBdr>
        <w:top w:val="single" w:sz="4" w:space="0" w:color="BFBFB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Normal"/>
    <w:uiPriority w:val="99"/>
    <w:rsid w:val="002A4C69"/>
    <w:pPr>
      <w:pBdr>
        <w:top w:val="single" w:sz="4" w:space="0" w:color="BFBFBF"/>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8">
    <w:name w:val="xl88"/>
    <w:basedOn w:val="Normal"/>
    <w:uiPriority w:val="99"/>
    <w:rsid w:val="002A4C69"/>
    <w:pPr>
      <w:pBdr>
        <w:top w:val="single" w:sz="4" w:space="0" w:color="D8D8D8"/>
        <w:left w:val="single" w:sz="8" w:space="0" w:color="auto"/>
        <w:bottom w:val="single" w:sz="4" w:space="0" w:color="D8D8D8"/>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89">
    <w:name w:val="xl89"/>
    <w:basedOn w:val="Normal"/>
    <w:uiPriority w:val="99"/>
    <w:rsid w:val="002A4C69"/>
    <w:pPr>
      <w:pBdr>
        <w:top w:val="single" w:sz="4" w:space="0" w:color="D8D8D8"/>
        <w:left w:val="single" w:sz="8"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0">
    <w:name w:val="xl90"/>
    <w:basedOn w:val="Normal"/>
    <w:uiPriority w:val="99"/>
    <w:rsid w:val="002A4C69"/>
    <w:pPr>
      <w:pBdr>
        <w:top w:val="single" w:sz="4" w:space="0" w:color="D8D8D8"/>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1">
    <w:name w:val="xl91"/>
    <w:basedOn w:val="Normal"/>
    <w:uiPriority w:val="99"/>
    <w:rsid w:val="002A4C69"/>
    <w:pPr>
      <w:pBdr>
        <w:top w:val="single" w:sz="4" w:space="0" w:color="D8D8D8"/>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2">
    <w:name w:val="xl92"/>
    <w:basedOn w:val="Normal"/>
    <w:uiPriority w:val="99"/>
    <w:rsid w:val="002A4C69"/>
    <w:pPr>
      <w:pBdr>
        <w:top w:val="single" w:sz="4" w:space="0" w:color="D8D8D8"/>
        <w:left w:val="single" w:sz="4"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93">
    <w:name w:val="xl93"/>
    <w:basedOn w:val="Normal"/>
    <w:uiPriority w:val="99"/>
    <w:rsid w:val="002A4C69"/>
    <w:pPr>
      <w:pBdr>
        <w:top w:val="single" w:sz="4" w:space="0" w:color="D8D8D8"/>
        <w:left w:val="single" w:sz="8"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4">
    <w:name w:val="xl94"/>
    <w:basedOn w:val="Normal"/>
    <w:uiPriority w:val="99"/>
    <w:rsid w:val="002A4C69"/>
    <w:pPr>
      <w:pBdr>
        <w:top w:val="single" w:sz="4" w:space="0" w:color="D8D8D8"/>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5">
    <w:name w:val="xl95"/>
    <w:basedOn w:val="Normal"/>
    <w:uiPriority w:val="99"/>
    <w:rsid w:val="002A4C69"/>
    <w:pPr>
      <w:pBdr>
        <w:top w:val="single" w:sz="4" w:space="0" w:color="D8D8D8"/>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Normal"/>
    <w:uiPriority w:val="99"/>
    <w:rsid w:val="002A4C69"/>
    <w:pPr>
      <w:pBdr>
        <w:top w:val="single" w:sz="4" w:space="0" w:color="D8D8D8"/>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7">
    <w:name w:val="xl97"/>
    <w:basedOn w:val="Normal"/>
    <w:uiPriority w:val="99"/>
    <w:rsid w:val="002A4C69"/>
    <w:pPr>
      <w:pBdr>
        <w:top w:val="single" w:sz="4" w:space="0" w:color="auto"/>
        <w:left w:val="single" w:sz="8" w:space="0" w:color="auto"/>
        <w:bottom w:val="single" w:sz="4" w:space="0" w:color="BFBFBF"/>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Normal"/>
    <w:uiPriority w:val="99"/>
    <w:rsid w:val="002A4C69"/>
    <w:pPr>
      <w:pBdr>
        <w:top w:val="single" w:sz="4" w:space="0" w:color="auto"/>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99">
    <w:name w:val="xl99"/>
    <w:basedOn w:val="Normal"/>
    <w:uiPriority w:val="99"/>
    <w:rsid w:val="002A4C69"/>
    <w:pPr>
      <w:pBdr>
        <w:top w:val="single" w:sz="4" w:space="0" w:color="BFBFBF"/>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00">
    <w:name w:val="xl100"/>
    <w:basedOn w:val="Normal"/>
    <w:uiPriority w:val="99"/>
    <w:rsid w:val="002A4C69"/>
    <w:pPr>
      <w:pBdr>
        <w:top w:val="single" w:sz="4" w:space="0" w:color="auto"/>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01">
    <w:name w:val="xl101"/>
    <w:basedOn w:val="Normal"/>
    <w:uiPriority w:val="99"/>
    <w:rsid w:val="002A4C69"/>
    <w:pPr>
      <w:pBdr>
        <w:top w:val="single" w:sz="4" w:space="0" w:color="auto"/>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02">
    <w:name w:val="xl102"/>
    <w:basedOn w:val="Normal"/>
    <w:uiPriority w:val="99"/>
    <w:rsid w:val="002A4C69"/>
    <w:pPr>
      <w:pBdr>
        <w:top w:val="single" w:sz="4" w:space="0" w:color="auto"/>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03">
    <w:name w:val="xl103"/>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04">
    <w:name w:val="xl104"/>
    <w:basedOn w:val="Normal"/>
    <w:uiPriority w:val="99"/>
    <w:rsid w:val="002A4C69"/>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Normal"/>
    <w:uiPriority w:val="99"/>
    <w:rsid w:val="002A4C69"/>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06">
    <w:name w:val="xl106"/>
    <w:basedOn w:val="Normal"/>
    <w:uiPriority w:val="99"/>
    <w:rsid w:val="002A4C69"/>
    <w:pPr>
      <w:spacing w:before="100" w:beforeAutospacing="1" w:after="100" w:afterAutospacing="1" w:line="240" w:lineRule="auto"/>
    </w:pPr>
  </w:style>
  <w:style w:type="paragraph" w:customStyle="1" w:styleId="xl107">
    <w:name w:val="xl107"/>
    <w:basedOn w:val="Normal"/>
    <w:uiPriority w:val="99"/>
    <w:rsid w:val="002A4C69"/>
    <w:pPr>
      <w:spacing w:before="100" w:beforeAutospacing="1" w:after="100" w:afterAutospacing="1" w:line="240" w:lineRule="auto"/>
      <w:jc w:val="center"/>
    </w:pPr>
  </w:style>
  <w:style w:type="paragraph" w:customStyle="1" w:styleId="xl108">
    <w:name w:val="xl108"/>
    <w:basedOn w:val="Normal"/>
    <w:uiPriority w:val="99"/>
    <w:rsid w:val="002A4C69"/>
    <w:pPr>
      <w:pBdr>
        <w:top w:val="single" w:sz="4" w:space="0" w:color="BFBFB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09">
    <w:name w:val="xl109"/>
    <w:basedOn w:val="Normal"/>
    <w:uiPriority w:val="99"/>
    <w:rsid w:val="002A4C69"/>
    <w:pPr>
      <w:pBdr>
        <w:top w:val="single" w:sz="4" w:space="0" w:color="auto"/>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10">
    <w:name w:val="xl110"/>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11">
    <w:name w:val="xl111"/>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12">
    <w:name w:val="xl112"/>
    <w:basedOn w:val="Normal"/>
    <w:uiPriority w:val="99"/>
    <w:rsid w:val="002A4C69"/>
    <w:pPr>
      <w:pBdr>
        <w:top w:val="single" w:sz="4" w:space="0" w:color="BFBFBF"/>
        <w:left w:val="single" w:sz="4" w:space="0" w:color="auto"/>
        <w:bottom w:val="single" w:sz="4" w:space="0" w:color="BFBFBF"/>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13">
    <w:name w:val="xl113"/>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14">
    <w:name w:val="xl114"/>
    <w:basedOn w:val="Normal"/>
    <w:uiPriority w:val="99"/>
    <w:rsid w:val="002A4C69"/>
    <w:pPr>
      <w:pBdr>
        <w:top w:val="single" w:sz="4" w:space="0" w:color="BFBFBF"/>
        <w:left w:val="single" w:sz="8"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15">
    <w:name w:val="xl115"/>
    <w:basedOn w:val="Normal"/>
    <w:uiPriority w:val="99"/>
    <w:rsid w:val="002A4C69"/>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16">
    <w:name w:val="xl116"/>
    <w:basedOn w:val="Normal"/>
    <w:uiPriority w:val="99"/>
    <w:rsid w:val="002A4C69"/>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17">
    <w:name w:val="xl117"/>
    <w:basedOn w:val="Normal"/>
    <w:uiPriority w:val="99"/>
    <w:rsid w:val="002A4C69"/>
    <w:pPr>
      <w:pBdr>
        <w:top w:val="single" w:sz="4" w:space="0" w:color="BFBFBF"/>
        <w:left w:val="single" w:sz="8"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18">
    <w:name w:val="xl118"/>
    <w:basedOn w:val="Normal"/>
    <w:uiPriority w:val="99"/>
    <w:rsid w:val="002A4C69"/>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19">
    <w:name w:val="xl119"/>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20">
    <w:name w:val="xl120"/>
    <w:basedOn w:val="Normal"/>
    <w:uiPriority w:val="99"/>
    <w:rsid w:val="002A4C69"/>
    <w:pPr>
      <w:pBdr>
        <w:top w:val="single" w:sz="4" w:space="0" w:color="BFBFBF"/>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21">
    <w:name w:val="xl121"/>
    <w:basedOn w:val="Normal"/>
    <w:uiPriority w:val="99"/>
    <w:rsid w:val="002A4C69"/>
    <w:pPr>
      <w:pBdr>
        <w:top w:val="single" w:sz="4" w:space="0" w:color="BFBFBF"/>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22">
    <w:name w:val="xl122"/>
    <w:basedOn w:val="Normal"/>
    <w:uiPriority w:val="99"/>
    <w:rsid w:val="002A4C69"/>
    <w:pPr>
      <w:pBdr>
        <w:top w:val="single" w:sz="4" w:space="0" w:color="BFBFBF"/>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23">
    <w:name w:val="xl123"/>
    <w:basedOn w:val="Normal"/>
    <w:uiPriority w:val="99"/>
    <w:rsid w:val="002A4C69"/>
    <w:pPr>
      <w:pBdr>
        <w:top w:val="single" w:sz="4" w:space="0" w:color="auto"/>
        <w:left w:val="single" w:sz="8" w:space="0" w:color="auto"/>
        <w:bottom w:val="single" w:sz="4" w:space="0" w:color="BFBFBF"/>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24">
    <w:name w:val="xl124"/>
    <w:basedOn w:val="Normal"/>
    <w:uiPriority w:val="99"/>
    <w:rsid w:val="002A4C69"/>
    <w:pPr>
      <w:pBdr>
        <w:top w:val="single" w:sz="4" w:space="0" w:color="auto"/>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25">
    <w:name w:val="xl125"/>
    <w:basedOn w:val="Normal"/>
    <w:uiPriority w:val="99"/>
    <w:rsid w:val="002A4C69"/>
    <w:pPr>
      <w:pBdr>
        <w:top w:val="single" w:sz="4" w:space="0" w:color="auto"/>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26">
    <w:name w:val="xl126"/>
    <w:basedOn w:val="Normal"/>
    <w:uiPriority w:val="99"/>
    <w:rsid w:val="002A4C69"/>
    <w:pPr>
      <w:pBdr>
        <w:top w:val="single" w:sz="4" w:space="0" w:color="auto"/>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27">
    <w:name w:val="xl127"/>
    <w:basedOn w:val="Normal"/>
    <w:uiPriority w:val="99"/>
    <w:rsid w:val="002A4C69"/>
    <w:pPr>
      <w:pBdr>
        <w:left w:val="single" w:sz="8" w:space="0" w:color="auto"/>
        <w:bottom w:val="single" w:sz="4" w:space="0" w:color="BFBFBF"/>
      </w:pBdr>
      <w:spacing w:before="100" w:beforeAutospacing="1" w:after="100" w:afterAutospacing="1" w:line="240" w:lineRule="auto"/>
    </w:pPr>
    <w:rPr>
      <w:rFonts w:ascii="Times New Roman" w:hAnsi="Times New Roman"/>
      <w:sz w:val="16"/>
      <w:szCs w:val="16"/>
    </w:rPr>
  </w:style>
  <w:style w:type="paragraph" w:customStyle="1" w:styleId="xl128">
    <w:name w:val="xl128"/>
    <w:basedOn w:val="Normal"/>
    <w:uiPriority w:val="99"/>
    <w:rsid w:val="002A4C69"/>
    <w:pPr>
      <w:pBdr>
        <w:left w:val="single" w:sz="8"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29">
    <w:name w:val="xl129"/>
    <w:basedOn w:val="Normal"/>
    <w:uiPriority w:val="99"/>
    <w:rsid w:val="002A4C69"/>
    <w:pPr>
      <w:pBdr>
        <w:left w:val="single" w:sz="4" w:space="0" w:color="auto"/>
        <w:bottom w:val="single" w:sz="4" w:space="0" w:color="BFBFBF"/>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30">
    <w:name w:val="xl130"/>
    <w:basedOn w:val="Normal"/>
    <w:uiPriority w:val="99"/>
    <w:rsid w:val="002A4C69"/>
    <w:pPr>
      <w:pBdr>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31">
    <w:name w:val="xl131"/>
    <w:basedOn w:val="Normal"/>
    <w:uiPriority w:val="99"/>
    <w:rsid w:val="002A4C69"/>
    <w:pPr>
      <w:pBdr>
        <w:top w:val="single" w:sz="4" w:space="0" w:color="BFBFBF"/>
        <w:left w:val="single" w:sz="8" w:space="0" w:color="auto"/>
        <w:bottom w:val="single" w:sz="4" w:space="0" w:color="BFBFBF"/>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32">
    <w:name w:val="xl132"/>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33">
    <w:name w:val="xl133"/>
    <w:basedOn w:val="Normal"/>
    <w:uiPriority w:val="99"/>
    <w:rsid w:val="002A4C69"/>
    <w:pPr>
      <w:pBdr>
        <w:top w:val="single" w:sz="4" w:space="0" w:color="BFBFBF"/>
        <w:left w:val="single" w:sz="8" w:space="0" w:color="auto"/>
        <w:bottom w:val="single" w:sz="4" w:space="0" w:color="BFBFBF"/>
      </w:pBdr>
      <w:spacing w:before="100" w:beforeAutospacing="1" w:after="100" w:afterAutospacing="1" w:line="240" w:lineRule="auto"/>
    </w:pPr>
    <w:rPr>
      <w:rFonts w:ascii="Times New Roman" w:hAnsi="Times New Roman"/>
      <w:sz w:val="16"/>
      <w:szCs w:val="16"/>
    </w:rPr>
  </w:style>
  <w:style w:type="paragraph" w:customStyle="1" w:styleId="xl134">
    <w:name w:val="xl134"/>
    <w:basedOn w:val="Normal"/>
    <w:uiPriority w:val="99"/>
    <w:rsid w:val="002A4C69"/>
    <w:pPr>
      <w:pBdr>
        <w:top w:val="single" w:sz="4" w:space="0" w:color="BFBFBF"/>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35">
    <w:name w:val="xl135"/>
    <w:basedOn w:val="Normal"/>
    <w:uiPriority w:val="99"/>
    <w:rsid w:val="002A4C69"/>
    <w:pPr>
      <w:pBdr>
        <w:top w:val="single" w:sz="4" w:space="0" w:color="auto"/>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36">
    <w:name w:val="xl136"/>
    <w:basedOn w:val="Normal"/>
    <w:uiPriority w:val="99"/>
    <w:rsid w:val="002A4C69"/>
    <w:pPr>
      <w:pBdr>
        <w:top w:val="single" w:sz="4" w:space="0" w:color="BFBFBF"/>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37">
    <w:name w:val="xl137"/>
    <w:basedOn w:val="Normal"/>
    <w:uiPriority w:val="99"/>
    <w:rsid w:val="002A4C69"/>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38">
    <w:name w:val="xl138"/>
    <w:basedOn w:val="Normal"/>
    <w:uiPriority w:val="99"/>
    <w:rsid w:val="002A4C69"/>
    <w:pPr>
      <w:pBdr>
        <w:top w:val="single" w:sz="4" w:space="0" w:color="BFBFBF"/>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39">
    <w:name w:val="xl139"/>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40">
    <w:name w:val="xl140"/>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41">
    <w:name w:val="xl141"/>
    <w:basedOn w:val="Normal"/>
    <w:uiPriority w:val="99"/>
    <w:rsid w:val="002A4C69"/>
    <w:pPr>
      <w:pBdr>
        <w:top w:val="single" w:sz="4" w:space="0" w:color="BFBFBF"/>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43">
    <w:name w:val="xl143"/>
    <w:basedOn w:val="Normal"/>
    <w:uiPriority w:val="99"/>
    <w:rsid w:val="002A4C69"/>
    <w:pPr>
      <w:pBdr>
        <w:top w:val="single" w:sz="4" w:space="0" w:color="BFBFBF"/>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44">
    <w:name w:val="xl144"/>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45">
    <w:name w:val="xl145"/>
    <w:basedOn w:val="Normal"/>
    <w:uiPriority w:val="99"/>
    <w:rsid w:val="002A4C69"/>
    <w:pPr>
      <w:pBdr>
        <w:top w:val="single" w:sz="4" w:space="0" w:color="BFBFBF"/>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46">
    <w:name w:val="xl146"/>
    <w:basedOn w:val="Normal"/>
    <w:uiPriority w:val="99"/>
    <w:rsid w:val="002A4C69"/>
    <w:pPr>
      <w:pBdr>
        <w:top w:val="single" w:sz="4" w:space="0" w:color="BFBFBF"/>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47">
    <w:name w:val="xl147"/>
    <w:basedOn w:val="Normal"/>
    <w:uiPriority w:val="99"/>
    <w:rsid w:val="002A4C69"/>
    <w:pPr>
      <w:pBdr>
        <w:top w:val="single" w:sz="4" w:space="0" w:color="BFBFBF"/>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48">
    <w:name w:val="xl148"/>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49">
    <w:name w:val="xl149"/>
    <w:basedOn w:val="Normal"/>
    <w:uiPriority w:val="99"/>
    <w:rsid w:val="002A4C69"/>
    <w:pPr>
      <w:pBdr>
        <w:top w:val="single" w:sz="4" w:space="0" w:color="auto"/>
        <w:left w:val="single" w:sz="4" w:space="0" w:color="auto"/>
        <w:bottom w:val="single" w:sz="4" w:space="0" w:color="BFBFBF"/>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50">
    <w:name w:val="xl150"/>
    <w:basedOn w:val="Normal"/>
    <w:uiPriority w:val="99"/>
    <w:rsid w:val="002A4C69"/>
    <w:pPr>
      <w:pBdr>
        <w:top w:val="single" w:sz="4" w:space="0" w:color="BFBFBF"/>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53">
    <w:name w:val="xl153"/>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54">
    <w:name w:val="xl154"/>
    <w:basedOn w:val="Normal"/>
    <w:uiPriority w:val="99"/>
    <w:rsid w:val="002A4C69"/>
    <w:pPr>
      <w:pBdr>
        <w:top w:val="single" w:sz="4" w:space="0" w:color="auto"/>
        <w:left w:val="single" w:sz="8" w:space="0" w:color="auto"/>
        <w:bottom w:val="single" w:sz="4" w:space="0" w:color="BFBFBF"/>
      </w:pBdr>
      <w:spacing w:before="100" w:beforeAutospacing="1" w:after="100" w:afterAutospacing="1" w:line="240" w:lineRule="auto"/>
    </w:pPr>
    <w:rPr>
      <w:rFonts w:ascii="Times New Roman" w:hAnsi="Times New Roman"/>
      <w:sz w:val="16"/>
      <w:szCs w:val="16"/>
    </w:rPr>
  </w:style>
  <w:style w:type="paragraph" w:customStyle="1" w:styleId="xl155">
    <w:name w:val="xl155"/>
    <w:basedOn w:val="Normal"/>
    <w:uiPriority w:val="99"/>
    <w:rsid w:val="002A4C69"/>
    <w:pPr>
      <w:pBdr>
        <w:top w:val="single" w:sz="4" w:space="0" w:color="BFBFBF"/>
        <w:left w:val="single" w:sz="8" w:space="0" w:color="auto"/>
        <w:bottom w:val="single" w:sz="4" w:space="0" w:color="BFBFBF"/>
      </w:pBdr>
      <w:spacing w:before="100" w:beforeAutospacing="1" w:after="100" w:afterAutospacing="1" w:line="240" w:lineRule="auto"/>
    </w:pPr>
    <w:rPr>
      <w:rFonts w:ascii="Times New Roman" w:hAnsi="Times New Roman"/>
      <w:sz w:val="16"/>
      <w:szCs w:val="16"/>
    </w:rPr>
  </w:style>
  <w:style w:type="paragraph" w:customStyle="1" w:styleId="xl156">
    <w:name w:val="xl156"/>
    <w:basedOn w:val="Normal"/>
    <w:uiPriority w:val="99"/>
    <w:rsid w:val="002A4C69"/>
    <w:pPr>
      <w:pBdr>
        <w:top w:val="single" w:sz="4" w:space="0" w:color="BFBFBF"/>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57">
    <w:name w:val="xl157"/>
    <w:basedOn w:val="Normal"/>
    <w:uiPriority w:val="99"/>
    <w:rsid w:val="002A4C69"/>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58">
    <w:name w:val="xl158"/>
    <w:basedOn w:val="Normal"/>
    <w:uiPriority w:val="99"/>
    <w:rsid w:val="002A4C69"/>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59">
    <w:name w:val="xl159"/>
    <w:basedOn w:val="Normal"/>
    <w:uiPriority w:val="99"/>
    <w:rsid w:val="002A4C69"/>
    <w:pPr>
      <w:pBdr>
        <w:top w:val="single" w:sz="4" w:space="0" w:color="BFBFBF"/>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60">
    <w:name w:val="xl160"/>
    <w:basedOn w:val="Normal"/>
    <w:uiPriority w:val="99"/>
    <w:rsid w:val="002A4C69"/>
    <w:pPr>
      <w:pBdr>
        <w:top w:val="single" w:sz="4" w:space="0" w:color="BFBFBF"/>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61">
    <w:name w:val="xl161"/>
    <w:basedOn w:val="Normal"/>
    <w:uiPriority w:val="99"/>
    <w:rsid w:val="002A4C69"/>
    <w:pPr>
      <w:pBdr>
        <w:top w:val="single" w:sz="4" w:space="0" w:color="auto"/>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62">
    <w:name w:val="xl162"/>
    <w:basedOn w:val="Normal"/>
    <w:uiPriority w:val="99"/>
    <w:rsid w:val="002A4C69"/>
    <w:pPr>
      <w:pBdr>
        <w:top w:val="single" w:sz="4" w:space="0" w:color="auto"/>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163">
    <w:name w:val="xl163"/>
    <w:basedOn w:val="Normal"/>
    <w:uiPriority w:val="99"/>
    <w:rsid w:val="002A4C69"/>
    <w:pPr>
      <w:pBdr>
        <w:top w:val="single" w:sz="4" w:space="0" w:color="BFBFBF"/>
        <w:left w:val="single" w:sz="8" w:space="0" w:color="auto"/>
        <w:bottom w:val="single" w:sz="4" w:space="0" w:color="BFBFBF"/>
      </w:pBdr>
      <w:spacing w:before="100" w:beforeAutospacing="1" w:after="100" w:afterAutospacing="1" w:line="240" w:lineRule="auto"/>
      <w:textAlignment w:val="center"/>
    </w:pPr>
    <w:rPr>
      <w:rFonts w:ascii="Times New Roman" w:hAnsi="Times New Roman"/>
      <w:sz w:val="16"/>
      <w:szCs w:val="16"/>
    </w:rPr>
  </w:style>
  <w:style w:type="paragraph" w:customStyle="1" w:styleId="xl164">
    <w:name w:val="xl164"/>
    <w:basedOn w:val="Normal"/>
    <w:uiPriority w:val="99"/>
    <w:rsid w:val="002A4C69"/>
    <w:pPr>
      <w:pBdr>
        <w:top w:val="single" w:sz="4" w:space="0" w:color="BFBFBF"/>
        <w:left w:val="single" w:sz="8" w:space="0" w:color="auto"/>
        <w:bottom w:val="single" w:sz="4" w:space="0" w:color="BFBFBF"/>
      </w:pBdr>
      <w:spacing w:before="100" w:beforeAutospacing="1" w:after="100" w:afterAutospacing="1" w:line="240" w:lineRule="auto"/>
    </w:pPr>
    <w:rPr>
      <w:rFonts w:ascii="Times New Roman" w:hAnsi="Times New Roman"/>
      <w:color w:val="000000"/>
      <w:sz w:val="16"/>
      <w:szCs w:val="16"/>
    </w:rPr>
  </w:style>
  <w:style w:type="paragraph" w:customStyle="1" w:styleId="xl165">
    <w:name w:val="xl165"/>
    <w:basedOn w:val="Normal"/>
    <w:uiPriority w:val="99"/>
    <w:rsid w:val="002A4C69"/>
    <w:pPr>
      <w:pBdr>
        <w:top w:val="single" w:sz="4" w:space="0" w:color="BFBFBF"/>
        <w:left w:val="single" w:sz="8" w:space="0" w:color="auto"/>
        <w:bottom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66">
    <w:name w:val="xl166"/>
    <w:basedOn w:val="Normal"/>
    <w:uiPriority w:val="99"/>
    <w:rsid w:val="002A4C69"/>
    <w:pPr>
      <w:pBdr>
        <w:top w:val="single" w:sz="4" w:space="0" w:color="BFBFBF"/>
        <w:left w:val="single" w:sz="8" w:space="0" w:color="auto"/>
        <w:bottom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67">
    <w:name w:val="xl167"/>
    <w:basedOn w:val="Normal"/>
    <w:uiPriority w:val="99"/>
    <w:rsid w:val="002A4C69"/>
    <w:pPr>
      <w:pBdr>
        <w:top w:val="single" w:sz="4" w:space="0" w:color="BFBFBF"/>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168">
    <w:name w:val="xl168"/>
    <w:basedOn w:val="Normal"/>
    <w:uiPriority w:val="99"/>
    <w:rsid w:val="002A4C69"/>
    <w:pPr>
      <w:pBdr>
        <w:top w:val="single" w:sz="4" w:space="0" w:color="BFBFBF"/>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69">
    <w:name w:val="xl169"/>
    <w:basedOn w:val="Normal"/>
    <w:uiPriority w:val="99"/>
    <w:rsid w:val="002A4C69"/>
    <w:pPr>
      <w:pBdr>
        <w:top w:val="single" w:sz="4" w:space="0" w:color="auto"/>
        <w:left w:val="single" w:sz="8" w:space="0" w:color="auto"/>
        <w:bottom w:val="single" w:sz="4" w:space="0" w:color="BFBFBF"/>
      </w:pBdr>
      <w:spacing w:before="100" w:beforeAutospacing="1" w:after="100" w:afterAutospacing="1" w:line="240" w:lineRule="auto"/>
    </w:pPr>
    <w:rPr>
      <w:rFonts w:ascii="Times New Roman" w:hAnsi="Times New Roman"/>
      <w:color w:val="000000"/>
      <w:sz w:val="16"/>
      <w:szCs w:val="16"/>
    </w:rPr>
  </w:style>
  <w:style w:type="paragraph" w:customStyle="1" w:styleId="xl170">
    <w:name w:val="xl170"/>
    <w:basedOn w:val="Normal"/>
    <w:uiPriority w:val="99"/>
    <w:rsid w:val="002A4C69"/>
    <w:pPr>
      <w:pBdr>
        <w:top w:val="single" w:sz="4" w:space="0" w:color="auto"/>
        <w:left w:val="single" w:sz="8" w:space="0" w:color="auto"/>
        <w:bottom w:val="single" w:sz="4" w:space="0" w:color="BFBFBF"/>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71">
    <w:name w:val="xl171"/>
    <w:basedOn w:val="Normal"/>
    <w:uiPriority w:val="99"/>
    <w:rsid w:val="002A4C69"/>
    <w:pPr>
      <w:pBdr>
        <w:top w:val="single" w:sz="4" w:space="0" w:color="BFBFBF"/>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72">
    <w:name w:val="xl172"/>
    <w:basedOn w:val="Normal"/>
    <w:uiPriority w:val="99"/>
    <w:rsid w:val="002A4C69"/>
    <w:pPr>
      <w:pBdr>
        <w:top w:val="single" w:sz="4" w:space="0" w:color="BFBFB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73">
    <w:name w:val="xl173"/>
    <w:basedOn w:val="Normal"/>
    <w:uiPriority w:val="99"/>
    <w:rsid w:val="002A4C69"/>
    <w:pPr>
      <w:pBdr>
        <w:top w:val="single" w:sz="4" w:space="0" w:color="BFBFBF"/>
        <w:lef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74">
    <w:name w:val="xl174"/>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75">
    <w:name w:val="xl175"/>
    <w:basedOn w:val="Normal"/>
    <w:uiPriority w:val="99"/>
    <w:rsid w:val="002A4C69"/>
    <w:pPr>
      <w:pBdr>
        <w:top w:val="single" w:sz="4" w:space="0" w:color="BFBFBF"/>
        <w:left w:val="single" w:sz="8" w:space="0" w:color="auto"/>
        <w:bottom w:val="single" w:sz="4" w:space="0" w:color="BFBFBF"/>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76">
    <w:name w:val="xl176"/>
    <w:basedOn w:val="Normal"/>
    <w:uiPriority w:val="99"/>
    <w:rsid w:val="002A4C69"/>
    <w:pPr>
      <w:pBdr>
        <w:top w:val="single" w:sz="8" w:space="0" w:color="auto"/>
        <w:left w:val="single" w:sz="8" w:space="0" w:color="auto"/>
      </w:pBdr>
      <w:shd w:val="clear" w:color="000000" w:fill="A5A5A5"/>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177">
    <w:name w:val="xl177"/>
    <w:basedOn w:val="Normal"/>
    <w:uiPriority w:val="99"/>
    <w:rsid w:val="002A4C69"/>
    <w:pPr>
      <w:pBdr>
        <w:top w:val="single" w:sz="8" w:space="0" w:color="auto"/>
        <w:left w:val="single" w:sz="8" w:space="0" w:color="auto"/>
        <w:bottom w:val="single" w:sz="8" w:space="0" w:color="auto"/>
      </w:pBdr>
      <w:shd w:val="clear" w:color="000000" w:fill="BFBFBF"/>
      <w:spacing w:before="100" w:beforeAutospacing="1" w:after="100" w:afterAutospacing="1" w:line="240" w:lineRule="auto"/>
    </w:pPr>
    <w:rPr>
      <w:rFonts w:ascii="Times New Roman" w:hAnsi="Times New Roman"/>
      <w:b/>
      <w:bCs/>
      <w:sz w:val="24"/>
      <w:szCs w:val="24"/>
    </w:rPr>
  </w:style>
  <w:style w:type="paragraph" w:customStyle="1" w:styleId="xl178">
    <w:name w:val="xl178"/>
    <w:basedOn w:val="Normal"/>
    <w:uiPriority w:val="99"/>
    <w:rsid w:val="002A4C69"/>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79">
    <w:name w:val="xl179"/>
    <w:basedOn w:val="Normal"/>
    <w:uiPriority w:val="99"/>
    <w:rsid w:val="002A4C69"/>
    <w:pPr>
      <w:pBdr>
        <w:top w:val="single" w:sz="8" w:space="0" w:color="auto"/>
        <w:left w:val="single" w:sz="8" w:space="0" w:color="auto"/>
        <w:bottom w:val="single" w:sz="8" w:space="0" w:color="auto"/>
      </w:pBdr>
      <w:shd w:val="clear" w:color="000000" w:fill="D8D8D8"/>
      <w:spacing w:before="100" w:beforeAutospacing="1" w:after="100" w:afterAutospacing="1" w:line="240" w:lineRule="auto"/>
    </w:pPr>
    <w:rPr>
      <w:rFonts w:ascii="Times New Roman" w:hAnsi="Times New Roman"/>
      <w:b/>
      <w:bCs/>
      <w:sz w:val="24"/>
      <w:szCs w:val="24"/>
    </w:rPr>
  </w:style>
  <w:style w:type="paragraph" w:customStyle="1" w:styleId="xl180">
    <w:name w:val="xl180"/>
    <w:basedOn w:val="Normal"/>
    <w:uiPriority w:val="99"/>
    <w:rsid w:val="002A4C69"/>
    <w:pPr>
      <w:pBdr>
        <w:top w:val="single" w:sz="8" w:space="0" w:color="auto"/>
        <w:left w:val="single" w:sz="8" w:space="0" w:color="auto"/>
        <w:bottom w:val="single" w:sz="8" w:space="0" w:color="auto"/>
      </w:pBdr>
      <w:shd w:val="clear" w:color="000000" w:fill="BFBFBF"/>
      <w:spacing w:before="100" w:beforeAutospacing="1" w:after="100" w:afterAutospacing="1" w:line="240" w:lineRule="auto"/>
    </w:pPr>
    <w:rPr>
      <w:rFonts w:ascii="Times New Roman" w:hAnsi="Times New Roman"/>
      <w:b/>
      <w:bCs/>
      <w:sz w:val="24"/>
      <w:szCs w:val="24"/>
    </w:rPr>
  </w:style>
  <w:style w:type="paragraph" w:customStyle="1" w:styleId="xl181">
    <w:name w:val="xl181"/>
    <w:basedOn w:val="Normal"/>
    <w:uiPriority w:val="99"/>
    <w:rsid w:val="002A4C69"/>
    <w:pPr>
      <w:pBdr>
        <w:top w:val="single" w:sz="8" w:space="0" w:color="auto"/>
        <w:left w:val="single" w:sz="8" w:space="0" w:color="auto"/>
        <w:bottom w:val="single" w:sz="8" w:space="0" w:color="auto"/>
      </w:pBdr>
      <w:shd w:val="clear" w:color="000000" w:fill="BFBFBF"/>
      <w:spacing w:before="100" w:beforeAutospacing="1" w:after="100" w:afterAutospacing="1" w:line="240" w:lineRule="auto"/>
    </w:pPr>
    <w:rPr>
      <w:rFonts w:ascii="Times New Roman" w:hAnsi="Times New Roman"/>
      <w:b/>
      <w:bCs/>
      <w:sz w:val="24"/>
      <w:szCs w:val="24"/>
    </w:rPr>
  </w:style>
  <w:style w:type="paragraph" w:customStyle="1" w:styleId="xl182">
    <w:name w:val="xl182"/>
    <w:basedOn w:val="Normal"/>
    <w:uiPriority w:val="99"/>
    <w:rsid w:val="002A4C69"/>
    <w:pPr>
      <w:pBdr>
        <w:top w:val="single" w:sz="8" w:space="0" w:color="auto"/>
        <w:left w:val="single" w:sz="8" w:space="0" w:color="auto"/>
        <w:bottom w:val="single" w:sz="8" w:space="0" w:color="auto"/>
      </w:pBdr>
      <w:shd w:val="clear" w:color="000000" w:fill="BFBFBF"/>
      <w:spacing w:before="100" w:beforeAutospacing="1" w:after="100" w:afterAutospacing="1" w:line="240" w:lineRule="auto"/>
    </w:pPr>
    <w:rPr>
      <w:rFonts w:ascii="Times New Roman" w:hAnsi="Times New Roman"/>
      <w:b/>
      <w:bCs/>
      <w:sz w:val="24"/>
      <w:szCs w:val="24"/>
    </w:rPr>
  </w:style>
  <w:style w:type="paragraph" w:customStyle="1" w:styleId="xl183">
    <w:name w:val="xl183"/>
    <w:basedOn w:val="Normal"/>
    <w:uiPriority w:val="99"/>
    <w:rsid w:val="002A4C69"/>
    <w:pPr>
      <w:pBdr>
        <w:top w:val="single" w:sz="4" w:space="0" w:color="auto"/>
        <w:left w:val="single" w:sz="4" w:space="0" w:color="auto"/>
        <w:right w:val="single" w:sz="4"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84">
    <w:name w:val="xl184"/>
    <w:basedOn w:val="Normal"/>
    <w:uiPriority w:val="99"/>
    <w:rsid w:val="002A4C69"/>
    <w:pPr>
      <w:pBdr>
        <w:left w:val="single" w:sz="4" w:space="0" w:color="auto"/>
        <w:right w:val="single" w:sz="8"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85">
    <w:name w:val="xl185"/>
    <w:basedOn w:val="Normal"/>
    <w:uiPriority w:val="99"/>
    <w:rsid w:val="002A4C69"/>
    <w:pPr>
      <w:pBdr>
        <w:top w:val="single" w:sz="4" w:space="0" w:color="auto"/>
        <w:left w:val="single" w:sz="4" w:space="0" w:color="auto"/>
        <w:right w:val="single" w:sz="8"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86">
    <w:name w:val="xl186"/>
    <w:basedOn w:val="Normal"/>
    <w:uiPriority w:val="99"/>
    <w:rsid w:val="002A4C69"/>
    <w:pPr>
      <w:pBdr>
        <w:top w:val="single" w:sz="4" w:space="0" w:color="auto"/>
        <w:left w:val="single" w:sz="8" w:space="0" w:color="auto"/>
        <w:right w:val="single" w:sz="4"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87">
    <w:name w:val="xl187"/>
    <w:basedOn w:val="Normal"/>
    <w:uiPriority w:val="99"/>
    <w:rsid w:val="002A4C69"/>
    <w:pPr>
      <w:pBdr>
        <w:top w:val="single" w:sz="8" w:space="0" w:color="auto"/>
        <w:left w:val="single" w:sz="8" w:space="0" w:color="auto"/>
        <w:right w:val="single" w:sz="8"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88">
    <w:name w:val="xl188"/>
    <w:basedOn w:val="Normal"/>
    <w:uiPriority w:val="99"/>
    <w:rsid w:val="002A4C69"/>
    <w:pPr>
      <w:pBdr>
        <w:top w:val="single" w:sz="8" w:space="0" w:color="auto"/>
        <w:left w:val="single" w:sz="8" w:space="0" w:color="auto"/>
        <w:bottom w:val="single" w:sz="4"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89">
    <w:name w:val="xl189"/>
    <w:basedOn w:val="Normal"/>
    <w:uiPriority w:val="99"/>
    <w:rsid w:val="002A4C69"/>
    <w:pPr>
      <w:pBdr>
        <w:top w:val="single" w:sz="8" w:space="0" w:color="auto"/>
        <w:bottom w:val="single" w:sz="4" w:space="0" w:color="auto"/>
      </w:pBdr>
      <w:shd w:val="clear" w:color="000000" w:fill="A5A5A5"/>
      <w:spacing w:before="100" w:beforeAutospacing="1" w:after="100" w:afterAutospacing="1" w:line="240" w:lineRule="auto"/>
      <w:jc w:val="center"/>
    </w:pPr>
    <w:rPr>
      <w:rFonts w:ascii="Times New Roman" w:hAnsi="Times New Roman"/>
      <w:b/>
      <w:bCs/>
      <w:sz w:val="16"/>
      <w:szCs w:val="16"/>
    </w:rPr>
  </w:style>
  <w:style w:type="paragraph" w:customStyle="1" w:styleId="xl190">
    <w:name w:val="xl190"/>
    <w:basedOn w:val="Normal"/>
    <w:uiPriority w:val="99"/>
    <w:rsid w:val="002A4C69"/>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91">
    <w:name w:val="xl191"/>
    <w:basedOn w:val="Normal"/>
    <w:uiPriority w:val="99"/>
    <w:rsid w:val="002A4C69"/>
    <w:pPr>
      <w:pBdr>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2">
    <w:name w:val="xl192"/>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3">
    <w:name w:val="xl193"/>
    <w:basedOn w:val="Normal"/>
    <w:uiPriority w:val="99"/>
    <w:rsid w:val="002A4C69"/>
    <w:pPr>
      <w:pBdr>
        <w:top w:val="single" w:sz="4" w:space="0" w:color="D8D8D8"/>
        <w:left w:val="single" w:sz="4"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4">
    <w:name w:val="xl194"/>
    <w:basedOn w:val="Normal"/>
    <w:uiPriority w:val="99"/>
    <w:rsid w:val="002A4C69"/>
    <w:pPr>
      <w:pBdr>
        <w:top w:val="single" w:sz="4" w:space="0" w:color="D8D8D8"/>
        <w:left w:val="single" w:sz="4"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5">
    <w:name w:val="xl195"/>
    <w:basedOn w:val="Normal"/>
    <w:uiPriority w:val="99"/>
    <w:rsid w:val="002A4C69"/>
    <w:pPr>
      <w:pBdr>
        <w:top w:val="single" w:sz="4" w:space="0" w:color="D8D8D8"/>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6">
    <w:name w:val="xl196"/>
    <w:basedOn w:val="Normal"/>
    <w:uiPriority w:val="99"/>
    <w:rsid w:val="002A4C69"/>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7">
    <w:name w:val="xl197"/>
    <w:basedOn w:val="Normal"/>
    <w:uiPriority w:val="99"/>
    <w:rsid w:val="002A4C69"/>
    <w:pPr>
      <w:pBdr>
        <w:right w:val="single" w:sz="8" w:space="0" w:color="auto"/>
      </w:pBdr>
      <w:spacing w:before="100" w:beforeAutospacing="1" w:after="100" w:afterAutospacing="1" w:line="240" w:lineRule="auto"/>
    </w:pPr>
  </w:style>
  <w:style w:type="paragraph" w:customStyle="1" w:styleId="xl198">
    <w:name w:val="xl198"/>
    <w:basedOn w:val="Normal"/>
    <w:uiPriority w:val="99"/>
    <w:rsid w:val="002A4C69"/>
    <w:pPr>
      <w:pBdr>
        <w:top w:val="single" w:sz="4" w:space="0" w:color="BFBFBF"/>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199">
    <w:name w:val="xl199"/>
    <w:basedOn w:val="Normal"/>
    <w:uiPriority w:val="99"/>
    <w:rsid w:val="002A4C69"/>
    <w:pPr>
      <w:pBdr>
        <w:top w:val="single" w:sz="4" w:space="0" w:color="BFBFBF"/>
        <w:left w:val="single" w:sz="4"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00">
    <w:name w:val="xl200"/>
    <w:basedOn w:val="Normal"/>
    <w:uiPriority w:val="99"/>
    <w:rsid w:val="002A4C69"/>
    <w:pPr>
      <w:pBdr>
        <w:top w:val="single" w:sz="4" w:space="0" w:color="BFBFBF"/>
        <w:left w:val="single" w:sz="4"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1">
    <w:name w:val="xl201"/>
    <w:basedOn w:val="Normal"/>
    <w:uiPriority w:val="99"/>
    <w:rsid w:val="002A4C69"/>
    <w:pPr>
      <w:pBdr>
        <w:left w:val="single" w:sz="4"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2">
    <w:name w:val="xl202"/>
    <w:basedOn w:val="Normal"/>
    <w:uiPriority w:val="99"/>
    <w:rsid w:val="002A4C69"/>
    <w:pPr>
      <w:pBdr>
        <w:top w:val="single" w:sz="4" w:space="0" w:color="BFBFBF"/>
        <w:left w:val="single" w:sz="4"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3">
    <w:name w:val="xl203"/>
    <w:basedOn w:val="Normal"/>
    <w:uiPriority w:val="99"/>
    <w:rsid w:val="002A4C69"/>
    <w:pPr>
      <w:pBdr>
        <w:top w:val="single" w:sz="4" w:space="0" w:color="BFBFBF"/>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4">
    <w:name w:val="xl204"/>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05">
    <w:name w:val="xl205"/>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06">
    <w:name w:val="xl206"/>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07">
    <w:name w:val="xl207"/>
    <w:basedOn w:val="Normal"/>
    <w:uiPriority w:val="99"/>
    <w:rsid w:val="002A4C69"/>
    <w:pPr>
      <w:pBdr>
        <w:top w:val="single" w:sz="4" w:space="0" w:color="auto"/>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08">
    <w:name w:val="xl208"/>
    <w:basedOn w:val="Normal"/>
    <w:uiPriority w:val="99"/>
    <w:rsid w:val="002A4C69"/>
    <w:pPr>
      <w:pBdr>
        <w:left w:val="single" w:sz="8" w:space="0" w:color="auto"/>
        <w:right w:val="single" w:sz="8" w:space="0" w:color="auto"/>
      </w:pBdr>
      <w:shd w:val="clear" w:color="000000" w:fill="A5A5A5"/>
      <w:spacing w:before="100" w:beforeAutospacing="1" w:after="100" w:afterAutospacing="1" w:line="240" w:lineRule="auto"/>
      <w:jc w:val="center"/>
    </w:pPr>
    <w:rPr>
      <w:rFonts w:ascii="Times New Roman" w:hAnsi="Times New Roman"/>
      <w:sz w:val="16"/>
      <w:szCs w:val="16"/>
    </w:rPr>
  </w:style>
  <w:style w:type="paragraph" w:customStyle="1" w:styleId="xl209">
    <w:name w:val="xl209"/>
    <w:basedOn w:val="Normal"/>
    <w:uiPriority w:val="99"/>
    <w:rsid w:val="002A4C69"/>
    <w:pPr>
      <w:pBdr>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0">
    <w:name w:val="xl210"/>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1">
    <w:name w:val="xl211"/>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2">
    <w:name w:val="xl212"/>
    <w:basedOn w:val="Normal"/>
    <w:uiPriority w:val="99"/>
    <w:rsid w:val="002A4C69"/>
    <w:pPr>
      <w:pBdr>
        <w:top w:val="single" w:sz="4" w:space="0" w:color="BFBFBF"/>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3">
    <w:name w:val="xl213"/>
    <w:basedOn w:val="Normal"/>
    <w:uiPriority w:val="99"/>
    <w:rsid w:val="002A4C69"/>
    <w:pPr>
      <w:pBdr>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4">
    <w:name w:val="xl214"/>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5">
    <w:name w:val="xl215"/>
    <w:basedOn w:val="Normal"/>
    <w:uiPriority w:val="99"/>
    <w:rsid w:val="002A4C69"/>
    <w:pPr>
      <w:pBdr>
        <w:top w:val="single" w:sz="4" w:space="0" w:color="D8D8D8"/>
        <w:left w:val="single" w:sz="8"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6">
    <w:name w:val="xl216"/>
    <w:basedOn w:val="Normal"/>
    <w:uiPriority w:val="99"/>
    <w:rsid w:val="002A4C69"/>
    <w:pPr>
      <w:pBdr>
        <w:top w:val="single" w:sz="4" w:space="0" w:color="D8D8D8"/>
        <w:left w:val="single" w:sz="8"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7">
    <w:name w:val="xl217"/>
    <w:basedOn w:val="Normal"/>
    <w:uiPriority w:val="99"/>
    <w:rsid w:val="002A4C69"/>
    <w:pPr>
      <w:pBdr>
        <w:top w:val="single" w:sz="4" w:space="0" w:color="D8D8D8"/>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8">
    <w:name w:val="xl218"/>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19">
    <w:name w:val="xl219"/>
    <w:basedOn w:val="Normal"/>
    <w:uiPriority w:val="99"/>
    <w:rsid w:val="002A4C69"/>
    <w:pPr>
      <w:pBdr>
        <w:top w:val="single" w:sz="4" w:space="0" w:color="BFBFBF"/>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20">
    <w:name w:val="xl220"/>
    <w:basedOn w:val="Normal"/>
    <w:uiPriority w:val="99"/>
    <w:rsid w:val="002A4C69"/>
    <w:pPr>
      <w:pBdr>
        <w:top w:val="single" w:sz="4" w:space="0" w:color="auto"/>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21">
    <w:name w:val="xl221"/>
    <w:basedOn w:val="Normal"/>
    <w:uiPriority w:val="99"/>
    <w:rsid w:val="002A4C69"/>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22">
    <w:name w:val="xl222"/>
    <w:basedOn w:val="Normal"/>
    <w:uiPriority w:val="99"/>
    <w:rsid w:val="002A4C69"/>
    <w:pPr>
      <w:pBdr>
        <w:top w:val="single" w:sz="4" w:space="0" w:color="BFBFBF"/>
        <w:bottom w:val="single" w:sz="4" w:space="0" w:color="BFBFBF"/>
      </w:pBdr>
      <w:spacing w:before="100" w:beforeAutospacing="1" w:after="100" w:afterAutospacing="1" w:line="240" w:lineRule="auto"/>
      <w:jc w:val="center"/>
    </w:pPr>
    <w:rPr>
      <w:rFonts w:ascii="Times New Roman" w:hAnsi="Times New Roman"/>
      <w:sz w:val="16"/>
      <w:szCs w:val="16"/>
    </w:rPr>
  </w:style>
  <w:style w:type="paragraph" w:customStyle="1" w:styleId="xl223">
    <w:name w:val="xl223"/>
    <w:basedOn w:val="Normal"/>
    <w:uiPriority w:val="99"/>
    <w:rsid w:val="002A4C69"/>
    <w:pPr>
      <w:pBdr>
        <w:top w:val="single" w:sz="4" w:space="0" w:color="BFBFBF"/>
        <w:bottom w:val="single" w:sz="4" w:space="0" w:color="BFBFBF"/>
      </w:pBdr>
      <w:spacing w:before="100" w:beforeAutospacing="1" w:after="100" w:afterAutospacing="1" w:line="240" w:lineRule="auto"/>
      <w:jc w:val="center"/>
    </w:pPr>
    <w:rPr>
      <w:rFonts w:ascii="Times New Roman" w:hAnsi="Times New Roman"/>
      <w:sz w:val="16"/>
      <w:szCs w:val="16"/>
    </w:rPr>
  </w:style>
  <w:style w:type="paragraph" w:customStyle="1" w:styleId="xl224">
    <w:name w:val="xl224"/>
    <w:basedOn w:val="Normal"/>
    <w:uiPriority w:val="99"/>
    <w:rsid w:val="002A4C69"/>
    <w:pPr>
      <w:pBdr>
        <w:top w:val="single" w:sz="4" w:space="0" w:color="BFBFBF"/>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25">
    <w:name w:val="xl225"/>
    <w:basedOn w:val="Normal"/>
    <w:uiPriority w:val="99"/>
    <w:rsid w:val="002A4C69"/>
    <w:pPr>
      <w:pBdr>
        <w:bottom w:val="single" w:sz="4" w:space="0" w:color="BFBFBF"/>
      </w:pBdr>
      <w:spacing w:before="100" w:beforeAutospacing="1" w:after="100" w:afterAutospacing="1" w:line="240" w:lineRule="auto"/>
      <w:jc w:val="center"/>
    </w:pPr>
    <w:rPr>
      <w:rFonts w:ascii="Times New Roman" w:hAnsi="Times New Roman"/>
      <w:sz w:val="16"/>
      <w:szCs w:val="16"/>
    </w:rPr>
  </w:style>
  <w:style w:type="paragraph" w:customStyle="1" w:styleId="xl226">
    <w:name w:val="xl226"/>
    <w:basedOn w:val="Normal"/>
    <w:uiPriority w:val="99"/>
    <w:rsid w:val="002A4C69"/>
    <w:pPr>
      <w:spacing w:before="100" w:beforeAutospacing="1" w:after="100" w:afterAutospacing="1" w:line="240" w:lineRule="auto"/>
      <w:jc w:val="center"/>
    </w:pPr>
    <w:rPr>
      <w:rFonts w:ascii="Times New Roman" w:hAnsi="Times New Roman"/>
      <w:sz w:val="16"/>
      <w:szCs w:val="16"/>
    </w:rPr>
  </w:style>
  <w:style w:type="paragraph" w:customStyle="1" w:styleId="xl227">
    <w:name w:val="xl227"/>
    <w:basedOn w:val="Normal"/>
    <w:uiPriority w:val="99"/>
    <w:rsid w:val="002A4C69"/>
    <w:pPr>
      <w:pBdr>
        <w:top w:val="single" w:sz="4" w:space="0" w:color="BFBFBF"/>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28">
    <w:name w:val="xl228"/>
    <w:basedOn w:val="Normal"/>
    <w:uiPriority w:val="99"/>
    <w:rsid w:val="002A4C69"/>
    <w:pPr>
      <w:pBdr>
        <w:top w:val="single" w:sz="4" w:space="0" w:color="BFBFBF"/>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29">
    <w:name w:val="xl229"/>
    <w:basedOn w:val="Normal"/>
    <w:uiPriority w:val="99"/>
    <w:rsid w:val="002A4C69"/>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30">
    <w:name w:val="xl230"/>
    <w:basedOn w:val="Normal"/>
    <w:uiPriority w:val="99"/>
    <w:rsid w:val="002A4C69"/>
    <w:pPr>
      <w:pBdr>
        <w:top w:val="single" w:sz="4" w:space="0" w:color="BFBFBF"/>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31">
    <w:name w:val="xl231"/>
    <w:basedOn w:val="Normal"/>
    <w:uiPriority w:val="99"/>
    <w:rsid w:val="002A4C69"/>
    <w:pPr>
      <w:pBdr>
        <w:top w:val="single" w:sz="4" w:space="0" w:color="BFBFBF"/>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32">
    <w:name w:val="xl232"/>
    <w:basedOn w:val="Normal"/>
    <w:uiPriority w:val="99"/>
    <w:rsid w:val="002A4C69"/>
    <w:pPr>
      <w:pBdr>
        <w:top w:val="single" w:sz="4" w:space="0" w:color="auto"/>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33">
    <w:name w:val="xl233"/>
    <w:basedOn w:val="Normal"/>
    <w:uiPriority w:val="99"/>
    <w:rsid w:val="002A4C69"/>
    <w:pPr>
      <w:pBdr>
        <w:top w:val="single" w:sz="4" w:space="0" w:color="BFBFBF"/>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34">
    <w:name w:val="xl234"/>
    <w:basedOn w:val="Normal"/>
    <w:uiPriority w:val="99"/>
    <w:rsid w:val="002A4C69"/>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35">
    <w:name w:val="xl235"/>
    <w:basedOn w:val="Normal"/>
    <w:uiPriority w:val="99"/>
    <w:rsid w:val="002A4C69"/>
    <w:pPr>
      <w:spacing w:before="100" w:beforeAutospacing="1" w:after="100" w:afterAutospacing="1" w:line="240" w:lineRule="auto"/>
    </w:pPr>
    <w:rPr>
      <w:rFonts w:ascii="Times New Roman" w:hAnsi="Times New Roman"/>
      <w:sz w:val="24"/>
      <w:szCs w:val="24"/>
    </w:rPr>
  </w:style>
  <w:style w:type="paragraph" w:customStyle="1" w:styleId="xl236">
    <w:name w:val="xl236"/>
    <w:basedOn w:val="Normal"/>
    <w:uiPriority w:val="99"/>
    <w:rsid w:val="002A4C69"/>
    <w:pPr>
      <w:pBdr>
        <w:top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237">
    <w:name w:val="xl237"/>
    <w:basedOn w:val="Normal"/>
    <w:uiPriority w:val="99"/>
    <w:rsid w:val="002A4C69"/>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38">
    <w:name w:val="xl238"/>
    <w:basedOn w:val="Normal"/>
    <w:uiPriority w:val="99"/>
    <w:rsid w:val="002A4C69"/>
    <w:pPr>
      <w:pBdr>
        <w:top w:val="single" w:sz="4" w:space="0" w:color="BFBFBF"/>
        <w:left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39">
    <w:name w:val="xl239"/>
    <w:basedOn w:val="Normal"/>
    <w:uiPriority w:val="99"/>
    <w:rsid w:val="002A4C69"/>
    <w:pPr>
      <w:pBdr>
        <w:top w:val="single" w:sz="4" w:space="0" w:color="BFBFBF"/>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0">
    <w:name w:val="xl240"/>
    <w:basedOn w:val="Normal"/>
    <w:uiPriority w:val="99"/>
    <w:rsid w:val="002A4C69"/>
    <w:pPr>
      <w:pBdr>
        <w:left w:val="single" w:sz="8" w:space="0" w:color="auto"/>
        <w:bottom w:val="single" w:sz="4" w:space="0" w:color="BFBFBF"/>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41">
    <w:name w:val="xl241"/>
    <w:basedOn w:val="Normal"/>
    <w:uiPriority w:val="99"/>
    <w:rsid w:val="002A4C69"/>
    <w:pPr>
      <w:pBdr>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2">
    <w:name w:val="xl242"/>
    <w:basedOn w:val="Normal"/>
    <w:uiPriority w:val="99"/>
    <w:rsid w:val="002A4C69"/>
    <w:pPr>
      <w:pBdr>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3">
    <w:name w:val="xl243"/>
    <w:basedOn w:val="Normal"/>
    <w:uiPriority w:val="99"/>
    <w:rsid w:val="002A4C69"/>
    <w:pPr>
      <w:pBdr>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4">
    <w:name w:val="xl244"/>
    <w:basedOn w:val="Normal"/>
    <w:uiPriority w:val="99"/>
    <w:rsid w:val="002A4C69"/>
    <w:pPr>
      <w:pBdr>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5">
    <w:name w:val="xl245"/>
    <w:basedOn w:val="Normal"/>
    <w:uiPriority w:val="99"/>
    <w:rsid w:val="002A4C69"/>
    <w:pPr>
      <w:pBdr>
        <w:top w:val="single" w:sz="4" w:space="0" w:color="BFBFBF"/>
        <w:left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46">
    <w:name w:val="xl246"/>
    <w:basedOn w:val="Normal"/>
    <w:uiPriority w:val="99"/>
    <w:rsid w:val="002A4C69"/>
    <w:pPr>
      <w:pBdr>
        <w:top w:val="single" w:sz="4" w:space="0" w:color="BFBFBF"/>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7">
    <w:name w:val="xl247"/>
    <w:basedOn w:val="Normal"/>
    <w:uiPriority w:val="99"/>
    <w:rsid w:val="002A4C69"/>
    <w:pPr>
      <w:pBdr>
        <w:top w:val="single" w:sz="4" w:space="0" w:color="BFBFBF"/>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8">
    <w:name w:val="xl248"/>
    <w:basedOn w:val="Normal"/>
    <w:uiPriority w:val="99"/>
    <w:rsid w:val="002A4C69"/>
    <w:pPr>
      <w:pBdr>
        <w:top w:val="single" w:sz="4" w:space="0" w:color="BFBFBF"/>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49">
    <w:name w:val="xl249"/>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50">
    <w:name w:val="xl250"/>
    <w:basedOn w:val="Normal"/>
    <w:uiPriority w:val="99"/>
    <w:rsid w:val="002A4C69"/>
    <w:pPr>
      <w:pBdr>
        <w:top w:val="single" w:sz="4" w:space="0" w:color="D8D8D8"/>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51">
    <w:name w:val="xl251"/>
    <w:basedOn w:val="Normal"/>
    <w:uiPriority w:val="99"/>
    <w:rsid w:val="002A4C69"/>
    <w:pPr>
      <w:pBdr>
        <w:top w:val="single" w:sz="4" w:space="0" w:color="D8D8D8"/>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52">
    <w:name w:val="xl252"/>
    <w:basedOn w:val="Normal"/>
    <w:uiPriority w:val="99"/>
    <w:rsid w:val="002A4C69"/>
    <w:pPr>
      <w:pBdr>
        <w:top w:val="single" w:sz="4" w:space="0" w:color="D8D8D8"/>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53">
    <w:name w:val="xl253"/>
    <w:basedOn w:val="Normal"/>
    <w:uiPriority w:val="99"/>
    <w:rsid w:val="002A4C69"/>
    <w:pPr>
      <w:pBdr>
        <w:left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54">
    <w:name w:val="xl254"/>
    <w:basedOn w:val="Normal"/>
    <w:uiPriority w:val="99"/>
    <w:rsid w:val="002A4C69"/>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55">
    <w:name w:val="xl255"/>
    <w:basedOn w:val="Normal"/>
    <w:uiPriority w:val="99"/>
    <w:rsid w:val="002A4C69"/>
    <w:pPr>
      <w:pBdr>
        <w:left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56">
    <w:name w:val="xl256"/>
    <w:basedOn w:val="Normal"/>
    <w:uiPriority w:val="99"/>
    <w:rsid w:val="002A4C69"/>
    <w:pPr>
      <w:pBdr>
        <w:top w:val="single" w:sz="4" w:space="0" w:color="BFBFBF"/>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57">
    <w:name w:val="xl257"/>
    <w:basedOn w:val="Normal"/>
    <w:uiPriority w:val="99"/>
    <w:rsid w:val="002A4C69"/>
    <w:pPr>
      <w:pBdr>
        <w:top w:val="single" w:sz="4" w:space="0" w:color="BFBFBF"/>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58">
    <w:name w:val="xl258"/>
    <w:basedOn w:val="Normal"/>
    <w:uiPriority w:val="99"/>
    <w:rsid w:val="002A4C69"/>
    <w:pPr>
      <w:pBdr>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59">
    <w:name w:val="xl259"/>
    <w:basedOn w:val="Normal"/>
    <w:uiPriority w:val="99"/>
    <w:rsid w:val="002A4C69"/>
    <w:pPr>
      <w:pBdr>
        <w:top w:val="single" w:sz="4" w:space="0" w:color="BFBFBF"/>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60">
    <w:name w:val="xl260"/>
    <w:basedOn w:val="Normal"/>
    <w:uiPriority w:val="99"/>
    <w:rsid w:val="002A4C69"/>
    <w:pPr>
      <w:pBdr>
        <w:top w:val="single" w:sz="4" w:space="0" w:color="BFBFBF"/>
        <w:bottom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1">
    <w:name w:val="xl261"/>
    <w:basedOn w:val="Normal"/>
    <w:uiPriority w:val="99"/>
    <w:rsid w:val="002A4C69"/>
    <w:pPr>
      <w:pBdr>
        <w:top w:val="single" w:sz="4" w:space="0" w:color="BFBFBF"/>
        <w:bottom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2">
    <w:name w:val="xl262"/>
    <w:basedOn w:val="Normal"/>
    <w:uiPriority w:val="99"/>
    <w:rsid w:val="002A4C69"/>
    <w:pPr>
      <w:pBdr>
        <w:top w:val="single" w:sz="4" w:space="0" w:color="BFBFBF"/>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63">
    <w:name w:val="xl263"/>
    <w:basedOn w:val="Normal"/>
    <w:uiPriority w:val="99"/>
    <w:rsid w:val="002A4C69"/>
    <w:pPr>
      <w:pBdr>
        <w:top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64">
    <w:name w:val="xl264"/>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5">
    <w:name w:val="xl265"/>
    <w:basedOn w:val="Normal"/>
    <w:uiPriority w:val="99"/>
    <w:rsid w:val="002A4C69"/>
    <w:pPr>
      <w:pBdr>
        <w:top w:val="single" w:sz="4" w:space="0" w:color="BFBFBF"/>
        <w:left w:val="single" w:sz="8"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6">
    <w:name w:val="xl266"/>
    <w:basedOn w:val="Normal"/>
    <w:uiPriority w:val="99"/>
    <w:rsid w:val="002A4C69"/>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67">
    <w:name w:val="xl267"/>
    <w:basedOn w:val="Normal"/>
    <w:uiPriority w:val="99"/>
    <w:rsid w:val="002A4C69"/>
    <w:pPr>
      <w:pBdr>
        <w:left w:val="single" w:sz="8" w:space="0" w:color="auto"/>
        <w:bottom w:val="single" w:sz="4" w:space="0" w:color="BFBFBF"/>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8">
    <w:name w:val="xl268"/>
    <w:basedOn w:val="Normal"/>
    <w:uiPriority w:val="99"/>
    <w:rsid w:val="002A4C69"/>
    <w:pPr>
      <w:pBdr>
        <w:top w:val="single" w:sz="4" w:space="0" w:color="BFBFBF"/>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9">
    <w:name w:val="xl269"/>
    <w:basedOn w:val="Normal"/>
    <w:uiPriority w:val="99"/>
    <w:rsid w:val="002A4C69"/>
    <w:pPr>
      <w:pBdr>
        <w:left w:val="single" w:sz="4" w:space="0" w:color="auto"/>
        <w:right w:val="single" w:sz="4" w:space="0" w:color="auto"/>
      </w:pBdr>
      <w:shd w:val="clear" w:color="000000" w:fill="A5A5A5"/>
      <w:spacing w:before="100" w:beforeAutospacing="1" w:after="100" w:afterAutospacing="1" w:line="240" w:lineRule="auto"/>
      <w:jc w:val="center"/>
    </w:pPr>
    <w:rPr>
      <w:rFonts w:ascii="Times New Roman" w:hAnsi="Times New Roman"/>
      <w:sz w:val="16"/>
      <w:szCs w:val="16"/>
    </w:rPr>
  </w:style>
  <w:style w:type="paragraph" w:customStyle="1" w:styleId="xl270">
    <w:name w:val="xl270"/>
    <w:basedOn w:val="Normal"/>
    <w:uiPriority w:val="99"/>
    <w:rsid w:val="002A4C69"/>
    <w:pPr>
      <w:pBdr>
        <w:top w:val="single" w:sz="4" w:space="0" w:color="D8D8D8"/>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71">
    <w:name w:val="xl271"/>
    <w:basedOn w:val="Normal"/>
    <w:uiPriority w:val="99"/>
    <w:rsid w:val="002A4C69"/>
    <w:pPr>
      <w:pBdr>
        <w:top w:val="single" w:sz="4" w:space="0" w:color="D8D8D8"/>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72">
    <w:name w:val="xl272"/>
    <w:basedOn w:val="Normal"/>
    <w:uiPriority w:val="99"/>
    <w:rsid w:val="002A4C69"/>
    <w:pPr>
      <w:pBdr>
        <w:top w:val="single" w:sz="4" w:space="0" w:color="D8D8D8"/>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73">
    <w:name w:val="xl273"/>
    <w:basedOn w:val="Normal"/>
    <w:uiPriority w:val="99"/>
    <w:rsid w:val="002A4C69"/>
    <w:pPr>
      <w:pBdr>
        <w:top w:val="single" w:sz="4" w:space="0" w:color="BFBFBF"/>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74">
    <w:name w:val="xl274"/>
    <w:basedOn w:val="Normal"/>
    <w:uiPriority w:val="99"/>
    <w:rsid w:val="002A4C69"/>
    <w:pPr>
      <w:pBdr>
        <w:top w:val="single" w:sz="4" w:space="0" w:color="BFBFBF"/>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75">
    <w:name w:val="xl275"/>
    <w:basedOn w:val="Normal"/>
    <w:uiPriority w:val="99"/>
    <w:rsid w:val="002A4C69"/>
    <w:pPr>
      <w:pBdr>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76">
    <w:name w:val="xl276"/>
    <w:basedOn w:val="Normal"/>
    <w:uiPriority w:val="99"/>
    <w:rsid w:val="002A4C69"/>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77">
    <w:name w:val="xl277"/>
    <w:basedOn w:val="Normal"/>
    <w:uiPriority w:val="99"/>
    <w:rsid w:val="002A4C69"/>
    <w:pPr>
      <w:pBdr>
        <w:top w:val="single" w:sz="4" w:space="0" w:color="D8D8D8"/>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78">
    <w:name w:val="xl278"/>
    <w:basedOn w:val="Normal"/>
    <w:uiPriority w:val="99"/>
    <w:rsid w:val="002A4C69"/>
    <w:pPr>
      <w:pBdr>
        <w:top w:val="single" w:sz="4" w:space="0" w:color="D8D8D8"/>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79">
    <w:name w:val="xl279"/>
    <w:basedOn w:val="Normal"/>
    <w:uiPriority w:val="99"/>
    <w:rsid w:val="002A4C69"/>
    <w:pPr>
      <w:pBdr>
        <w:top w:val="single" w:sz="4" w:space="0" w:color="BFBFBF"/>
        <w:left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80">
    <w:name w:val="xl280"/>
    <w:basedOn w:val="Normal"/>
    <w:uiPriority w:val="99"/>
    <w:rsid w:val="002A4C69"/>
    <w:pPr>
      <w:pBdr>
        <w:top w:val="single" w:sz="4" w:space="0" w:color="BFBFBF"/>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81">
    <w:name w:val="xl281"/>
    <w:basedOn w:val="Normal"/>
    <w:uiPriority w:val="99"/>
    <w:rsid w:val="002A4C69"/>
    <w:pPr>
      <w:pBdr>
        <w:top w:val="single" w:sz="4" w:space="0" w:color="BFBFBF"/>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82">
    <w:name w:val="xl282"/>
    <w:basedOn w:val="Normal"/>
    <w:uiPriority w:val="99"/>
    <w:rsid w:val="002A4C69"/>
    <w:pPr>
      <w:pBdr>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83">
    <w:name w:val="xl283"/>
    <w:basedOn w:val="Normal"/>
    <w:uiPriority w:val="99"/>
    <w:rsid w:val="002A4C69"/>
    <w:pPr>
      <w:pBdr>
        <w:left w:val="single" w:sz="8" w:space="0" w:color="auto"/>
        <w:right w:val="single" w:sz="4" w:space="0" w:color="auto"/>
      </w:pBdr>
      <w:shd w:val="clear" w:color="000000" w:fill="A5A5A5"/>
      <w:spacing w:before="100" w:beforeAutospacing="1" w:after="100" w:afterAutospacing="1" w:line="240" w:lineRule="auto"/>
      <w:jc w:val="center"/>
    </w:pPr>
    <w:rPr>
      <w:rFonts w:ascii="Times New Roman" w:hAnsi="Times New Roman"/>
      <w:sz w:val="16"/>
      <w:szCs w:val="16"/>
    </w:rPr>
  </w:style>
  <w:style w:type="paragraph" w:customStyle="1" w:styleId="xl284">
    <w:name w:val="xl284"/>
    <w:basedOn w:val="Normal"/>
    <w:uiPriority w:val="99"/>
    <w:rsid w:val="002A4C69"/>
    <w:pPr>
      <w:pBdr>
        <w:top w:val="single" w:sz="4" w:space="0" w:color="D8D8D8"/>
        <w:left w:val="single" w:sz="8"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85">
    <w:name w:val="xl285"/>
    <w:basedOn w:val="Normal"/>
    <w:uiPriority w:val="99"/>
    <w:rsid w:val="002A4C69"/>
    <w:pPr>
      <w:pBdr>
        <w:top w:val="single" w:sz="4" w:space="0" w:color="D8D8D8"/>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86">
    <w:name w:val="xl286"/>
    <w:basedOn w:val="Normal"/>
    <w:uiPriority w:val="99"/>
    <w:rsid w:val="002A4C69"/>
    <w:pPr>
      <w:pBdr>
        <w:top w:val="single" w:sz="4" w:space="0" w:color="D8D8D8"/>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87">
    <w:name w:val="xl287"/>
    <w:basedOn w:val="Normal"/>
    <w:uiPriority w:val="99"/>
    <w:rsid w:val="002A4C69"/>
    <w:pPr>
      <w:pBdr>
        <w:top w:val="single" w:sz="4" w:space="0" w:color="BFBFBF"/>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88">
    <w:name w:val="xl288"/>
    <w:basedOn w:val="Normal"/>
    <w:uiPriority w:val="99"/>
    <w:rsid w:val="002A4C69"/>
    <w:pPr>
      <w:pBdr>
        <w:top w:val="single" w:sz="4" w:space="0" w:color="BFBFBF"/>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89">
    <w:name w:val="xl289"/>
    <w:basedOn w:val="Normal"/>
    <w:uiPriority w:val="99"/>
    <w:rsid w:val="002A4C69"/>
    <w:pPr>
      <w:pBdr>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90">
    <w:name w:val="xl290"/>
    <w:basedOn w:val="Normal"/>
    <w:uiPriority w:val="99"/>
    <w:rsid w:val="002A4C69"/>
    <w:pPr>
      <w:pBdr>
        <w:left w:val="single" w:sz="8"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91">
    <w:name w:val="xl291"/>
    <w:basedOn w:val="Normal"/>
    <w:uiPriority w:val="99"/>
    <w:rsid w:val="002A4C69"/>
    <w:pPr>
      <w:pBdr>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292">
    <w:name w:val="xl292"/>
    <w:basedOn w:val="Normal"/>
    <w:uiPriority w:val="99"/>
    <w:rsid w:val="002A4C69"/>
    <w:pPr>
      <w:spacing w:before="100" w:beforeAutospacing="1" w:after="100" w:afterAutospacing="1" w:line="240" w:lineRule="auto"/>
      <w:jc w:val="center"/>
    </w:pPr>
    <w:rPr>
      <w:rFonts w:ascii="Times New Roman" w:hAnsi="Times New Roman"/>
      <w:b/>
      <w:bCs/>
      <w:sz w:val="16"/>
      <w:szCs w:val="16"/>
    </w:rPr>
  </w:style>
  <w:style w:type="paragraph" w:customStyle="1" w:styleId="xl293">
    <w:name w:val="xl293"/>
    <w:basedOn w:val="Normal"/>
    <w:uiPriority w:val="99"/>
    <w:rsid w:val="002A4C69"/>
    <w:pPr>
      <w:spacing w:before="100" w:beforeAutospacing="1" w:after="100" w:afterAutospacing="1" w:line="240" w:lineRule="auto"/>
      <w:jc w:val="center"/>
    </w:pPr>
    <w:rPr>
      <w:rFonts w:ascii="Times New Roman" w:hAnsi="Times New Roman"/>
      <w:sz w:val="16"/>
      <w:szCs w:val="16"/>
    </w:rPr>
  </w:style>
  <w:style w:type="paragraph" w:customStyle="1" w:styleId="xl294">
    <w:name w:val="xl294"/>
    <w:basedOn w:val="Normal"/>
    <w:uiPriority w:val="99"/>
    <w:rsid w:val="002A4C69"/>
    <w:pPr>
      <w:spacing w:before="100" w:beforeAutospacing="1" w:after="100" w:afterAutospacing="1" w:line="240" w:lineRule="auto"/>
      <w:jc w:val="center"/>
    </w:pPr>
    <w:rPr>
      <w:rFonts w:ascii="Times New Roman" w:hAnsi="Times New Roman"/>
      <w:b/>
      <w:bCs/>
      <w:sz w:val="16"/>
      <w:szCs w:val="16"/>
    </w:rPr>
  </w:style>
  <w:style w:type="paragraph" w:customStyle="1" w:styleId="xl295">
    <w:name w:val="xl295"/>
    <w:basedOn w:val="Normal"/>
    <w:uiPriority w:val="99"/>
    <w:rsid w:val="002A4C69"/>
    <w:pPr>
      <w:pBdr>
        <w:top w:val="single" w:sz="4" w:space="0" w:color="auto"/>
        <w:lef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96">
    <w:name w:val="xl296"/>
    <w:basedOn w:val="Normal"/>
    <w:uiPriority w:val="99"/>
    <w:rsid w:val="002A4C69"/>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97">
    <w:name w:val="xl297"/>
    <w:basedOn w:val="Normal"/>
    <w:uiPriority w:val="99"/>
    <w:rsid w:val="002A4C69"/>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98">
    <w:name w:val="xl298"/>
    <w:basedOn w:val="Normal"/>
    <w:uiPriority w:val="99"/>
    <w:rsid w:val="002A4C6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299">
    <w:name w:val="xl299"/>
    <w:basedOn w:val="Normal"/>
    <w:uiPriority w:val="99"/>
    <w:rsid w:val="002A4C69"/>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00">
    <w:name w:val="xl300"/>
    <w:basedOn w:val="Normal"/>
    <w:uiPriority w:val="99"/>
    <w:rsid w:val="002A4C6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1">
    <w:name w:val="xl301"/>
    <w:basedOn w:val="Normal"/>
    <w:uiPriority w:val="99"/>
    <w:rsid w:val="002A4C69"/>
    <w:pPr>
      <w:pBdr>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02">
    <w:name w:val="xl302"/>
    <w:basedOn w:val="Normal"/>
    <w:uiPriority w:val="99"/>
    <w:rsid w:val="002A4C6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3">
    <w:name w:val="xl303"/>
    <w:basedOn w:val="Normal"/>
    <w:uiPriority w:val="99"/>
    <w:rsid w:val="002A4C6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4">
    <w:name w:val="xl304"/>
    <w:basedOn w:val="Normal"/>
    <w:uiPriority w:val="99"/>
    <w:rsid w:val="002A4C6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5">
    <w:name w:val="xl305"/>
    <w:basedOn w:val="Normal"/>
    <w:uiPriority w:val="99"/>
    <w:rsid w:val="002A4C69"/>
    <w:pPr>
      <w:pBdr>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06">
    <w:name w:val="xl306"/>
    <w:basedOn w:val="Normal"/>
    <w:uiPriority w:val="99"/>
    <w:rsid w:val="002A4C69"/>
    <w:pPr>
      <w:pBdr>
        <w:top w:val="single" w:sz="4" w:space="0" w:color="BFBFBF"/>
      </w:pBdr>
      <w:spacing w:before="100" w:beforeAutospacing="1" w:after="100" w:afterAutospacing="1" w:line="240" w:lineRule="auto"/>
      <w:jc w:val="center"/>
    </w:pPr>
    <w:rPr>
      <w:rFonts w:ascii="Times New Roman" w:hAnsi="Times New Roman"/>
      <w:sz w:val="16"/>
      <w:szCs w:val="16"/>
    </w:rPr>
  </w:style>
  <w:style w:type="paragraph" w:customStyle="1" w:styleId="xl307">
    <w:name w:val="xl307"/>
    <w:basedOn w:val="Normal"/>
    <w:uiPriority w:val="99"/>
    <w:rsid w:val="002A4C69"/>
    <w:pPr>
      <w:pBdr>
        <w:top w:val="single" w:sz="4" w:space="0" w:color="BFBFBF"/>
        <w:left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08">
    <w:name w:val="xl308"/>
    <w:basedOn w:val="Normal"/>
    <w:uiPriority w:val="99"/>
    <w:rsid w:val="002A4C69"/>
    <w:pPr>
      <w:pBdr>
        <w:top w:val="single" w:sz="4" w:space="0" w:color="BFBFBF"/>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09">
    <w:name w:val="xl309"/>
    <w:basedOn w:val="Normal"/>
    <w:uiPriority w:val="99"/>
    <w:rsid w:val="002A4C69"/>
    <w:pPr>
      <w:pBdr>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10">
    <w:name w:val="xl310"/>
    <w:basedOn w:val="Normal"/>
    <w:uiPriority w:val="99"/>
    <w:rsid w:val="002A4C69"/>
    <w:pPr>
      <w:pBdr>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11">
    <w:name w:val="xl311"/>
    <w:basedOn w:val="Normal"/>
    <w:uiPriority w:val="99"/>
    <w:rsid w:val="002A4C69"/>
    <w:pPr>
      <w:pBdr>
        <w:top w:val="single" w:sz="4" w:space="0" w:color="BFBFBF"/>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12">
    <w:name w:val="xl312"/>
    <w:basedOn w:val="Normal"/>
    <w:uiPriority w:val="99"/>
    <w:rsid w:val="002A4C69"/>
    <w:pPr>
      <w:pBdr>
        <w:top w:val="single" w:sz="4" w:space="0" w:color="BFBFBF"/>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13">
    <w:name w:val="xl313"/>
    <w:basedOn w:val="Normal"/>
    <w:uiPriority w:val="99"/>
    <w:rsid w:val="002A4C69"/>
    <w:pPr>
      <w:pBdr>
        <w:top w:val="single" w:sz="4" w:space="0" w:color="BFBFBF"/>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14">
    <w:name w:val="xl314"/>
    <w:basedOn w:val="Normal"/>
    <w:uiPriority w:val="99"/>
    <w:rsid w:val="002A4C69"/>
    <w:pPr>
      <w:pBdr>
        <w:top w:val="single" w:sz="4" w:space="0" w:color="BFBFBF"/>
        <w:left w:val="single" w:sz="8" w:space="0" w:color="auto"/>
        <w:righ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315">
    <w:name w:val="xl315"/>
    <w:basedOn w:val="Normal"/>
    <w:uiPriority w:val="99"/>
    <w:rsid w:val="002A4C69"/>
    <w:pPr>
      <w:pBdr>
        <w:top w:val="single" w:sz="4" w:space="0" w:color="BFBFBF"/>
        <w:lef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316">
    <w:name w:val="xl316"/>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17">
    <w:name w:val="xl317"/>
    <w:basedOn w:val="Normal"/>
    <w:uiPriority w:val="99"/>
    <w:rsid w:val="002A4C69"/>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18">
    <w:name w:val="xl318"/>
    <w:basedOn w:val="Normal"/>
    <w:uiPriority w:val="99"/>
    <w:rsid w:val="002A4C69"/>
    <w:pPr>
      <w:pBdr>
        <w:top w:val="single" w:sz="4" w:space="0" w:color="BFBFBF"/>
        <w:left w:val="single" w:sz="4" w:space="0" w:color="auto"/>
        <w:bottom w:val="single" w:sz="4" w:space="0" w:color="BFBFBF"/>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19">
    <w:name w:val="xl319"/>
    <w:basedOn w:val="Normal"/>
    <w:uiPriority w:val="99"/>
    <w:rsid w:val="002A4C69"/>
    <w:pPr>
      <w:pBdr>
        <w:top w:val="single" w:sz="4" w:space="0" w:color="BFBFBF"/>
        <w:left w:val="single" w:sz="4" w:space="0" w:color="auto"/>
        <w:bottom w:val="single" w:sz="4" w:space="0" w:color="BFBFBF"/>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20">
    <w:name w:val="xl320"/>
    <w:basedOn w:val="Normal"/>
    <w:uiPriority w:val="99"/>
    <w:rsid w:val="002A4C69"/>
    <w:pPr>
      <w:pBdr>
        <w:left w:val="single" w:sz="8"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21">
    <w:name w:val="xl321"/>
    <w:basedOn w:val="Normal"/>
    <w:uiPriority w:val="99"/>
    <w:rsid w:val="002A4C69"/>
    <w:pPr>
      <w:pBdr>
        <w:left w:val="single" w:sz="8"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22">
    <w:name w:val="xl322"/>
    <w:basedOn w:val="Normal"/>
    <w:uiPriority w:val="99"/>
    <w:rsid w:val="002A4C69"/>
    <w:pPr>
      <w:pBdr>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23">
    <w:name w:val="xl323"/>
    <w:basedOn w:val="Normal"/>
    <w:uiPriority w:val="99"/>
    <w:rsid w:val="002A4C69"/>
    <w:pPr>
      <w:pBdr>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24">
    <w:name w:val="xl324"/>
    <w:basedOn w:val="Normal"/>
    <w:uiPriority w:val="99"/>
    <w:rsid w:val="002A4C69"/>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325">
    <w:name w:val="xl325"/>
    <w:basedOn w:val="Normal"/>
    <w:uiPriority w:val="99"/>
    <w:rsid w:val="002A4C69"/>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6">
    <w:name w:val="xl326"/>
    <w:basedOn w:val="Normal"/>
    <w:uiPriority w:val="99"/>
    <w:rsid w:val="002A4C69"/>
    <w:pPr>
      <w:pBdr>
        <w:top w:val="single" w:sz="8" w:space="0" w:color="auto"/>
      </w:pBdr>
      <w:spacing w:before="100" w:beforeAutospacing="1" w:after="100" w:afterAutospacing="1" w:line="240" w:lineRule="auto"/>
    </w:pPr>
    <w:rPr>
      <w:rFonts w:ascii="Times New Roman" w:hAnsi="Times New Roman"/>
      <w:sz w:val="24"/>
      <w:szCs w:val="24"/>
    </w:rPr>
  </w:style>
  <w:style w:type="paragraph" w:customStyle="1" w:styleId="xl327">
    <w:name w:val="xl327"/>
    <w:basedOn w:val="Normal"/>
    <w:uiPriority w:val="99"/>
    <w:rsid w:val="002A4C69"/>
    <w:pPr>
      <w:pBdr>
        <w:top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28">
    <w:name w:val="xl328"/>
    <w:basedOn w:val="Normal"/>
    <w:uiPriority w:val="99"/>
    <w:rsid w:val="002A4C69"/>
    <w:pPr>
      <w:pBdr>
        <w:left w:val="single" w:sz="8" w:space="0" w:color="auto"/>
        <w:bottom w:val="single" w:sz="4" w:space="0" w:color="D8D8D8"/>
        <w:right w:val="single" w:sz="8"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329">
    <w:name w:val="xl329"/>
    <w:basedOn w:val="Normal"/>
    <w:uiPriority w:val="99"/>
    <w:rsid w:val="002A4C69"/>
    <w:pPr>
      <w:pBdr>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30">
    <w:name w:val="xl330"/>
    <w:basedOn w:val="Normal"/>
    <w:uiPriority w:val="99"/>
    <w:rsid w:val="002A4C69"/>
    <w:pPr>
      <w:pBdr>
        <w:left w:val="single" w:sz="8"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31">
    <w:name w:val="xl331"/>
    <w:basedOn w:val="Normal"/>
    <w:uiPriority w:val="99"/>
    <w:rsid w:val="002A4C69"/>
    <w:pPr>
      <w:pBdr>
        <w:left w:val="single" w:sz="4" w:space="0" w:color="auto"/>
        <w:bottom w:val="single" w:sz="4" w:space="0" w:color="D8D8D8"/>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32">
    <w:name w:val="xl332"/>
    <w:basedOn w:val="Normal"/>
    <w:uiPriority w:val="99"/>
    <w:rsid w:val="002A4C69"/>
    <w:pPr>
      <w:pBdr>
        <w:left w:val="single" w:sz="4"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33">
    <w:name w:val="xl333"/>
    <w:basedOn w:val="Normal"/>
    <w:uiPriority w:val="99"/>
    <w:rsid w:val="002A4C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334">
    <w:name w:val="xl334"/>
    <w:basedOn w:val="Normal"/>
    <w:uiPriority w:val="99"/>
    <w:rsid w:val="002A4C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35">
    <w:name w:val="xl335"/>
    <w:basedOn w:val="Normal"/>
    <w:uiPriority w:val="99"/>
    <w:rsid w:val="002A4C69"/>
    <w:pPr>
      <w:pBdr>
        <w:top w:val="single" w:sz="4" w:space="0" w:color="D8D8D8"/>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36">
    <w:name w:val="xl336"/>
    <w:basedOn w:val="Normal"/>
    <w:uiPriority w:val="99"/>
    <w:rsid w:val="002A4C69"/>
    <w:pPr>
      <w:pBdr>
        <w:top w:val="single" w:sz="4" w:space="0" w:color="D8D8D8"/>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37">
    <w:name w:val="xl337"/>
    <w:basedOn w:val="Normal"/>
    <w:uiPriority w:val="99"/>
    <w:rsid w:val="002A4C69"/>
    <w:pPr>
      <w:pBdr>
        <w:top w:val="single" w:sz="8" w:space="0" w:color="auto"/>
        <w:left w:val="single" w:sz="8"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38">
    <w:name w:val="xl338"/>
    <w:basedOn w:val="Normal"/>
    <w:uiPriority w:val="99"/>
    <w:rsid w:val="002A4C69"/>
    <w:pPr>
      <w:pBdr>
        <w:top w:val="single" w:sz="4" w:space="0" w:color="D8D8D8"/>
        <w:left w:val="single" w:sz="8"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39">
    <w:name w:val="xl339"/>
    <w:basedOn w:val="Normal"/>
    <w:uiPriority w:val="99"/>
    <w:rsid w:val="002A4C69"/>
    <w:pPr>
      <w:pBdr>
        <w:top w:val="single" w:sz="4" w:space="0" w:color="D8D8D8"/>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40">
    <w:name w:val="xl340"/>
    <w:basedOn w:val="Normal"/>
    <w:uiPriority w:val="99"/>
    <w:rsid w:val="002A4C69"/>
    <w:pPr>
      <w:pBdr>
        <w:top w:val="single" w:sz="4" w:space="0" w:color="BFBFBF"/>
        <w:left w:val="single" w:sz="4" w:space="0" w:color="auto"/>
        <w:bottom w:val="single" w:sz="4" w:space="0" w:color="BFBFBF"/>
      </w:pBdr>
      <w:spacing w:before="100" w:beforeAutospacing="1" w:after="100" w:afterAutospacing="1" w:line="240" w:lineRule="auto"/>
      <w:jc w:val="center"/>
    </w:pPr>
    <w:rPr>
      <w:rFonts w:ascii="Times New Roman" w:hAnsi="Times New Roman"/>
      <w:sz w:val="16"/>
      <w:szCs w:val="16"/>
    </w:rPr>
  </w:style>
  <w:style w:type="paragraph" w:customStyle="1" w:styleId="xl341">
    <w:name w:val="xl341"/>
    <w:basedOn w:val="Normal"/>
    <w:uiPriority w:val="99"/>
    <w:rsid w:val="002A4C69"/>
    <w:pPr>
      <w:pBdr>
        <w:top w:val="single" w:sz="4" w:space="0" w:color="BFBFBF"/>
        <w:left w:val="single" w:sz="4" w:space="0" w:color="auto"/>
        <w:bottom w:val="single" w:sz="4" w:space="0" w:color="BFBFBF"/>
      </w:pBdr>
      <w:spacing w:before="100" w:beforeAutospacing="1" w:after="100" w:afterAutospacing="1" w:line="240" w:lineRule="auto"/>
      <w:jc w:val="center"/>
    </w:pPr>
    <w:rPr>
      <w:rFonts w:ascii="Times New Roman" w:hAnsi="Times New Roman"/>
      <w:b/>
      <w:bCs/>
      <w:sz w:val="16"/>
      <w:szCs w:val="16"/>
    </w:rPr>
  </w:style>
  <w:style w:type="paragraph" w:customStyle="1" w:styleId="xl342">
    <w:name w:val="xl342"/>
    <w:basedOn w:val="Normal"/>
    <w:uiPriority w:val="99"/>
    <w:rsid w:val="002A4C69"/>
    <w:pPr>
      <w:pBdr>
        <w:top w:val="single" w:sz="4" w:space="0" w:color="BFBFBF"/>
        <w:left w:val="single" w:sz="4" w:space="0" w:color="auto"/>
        <w:bottom w:val="single" w:sz="4" w:space="0" w:color="BFBFBF"/>
      </w:pBdr>
      <w:spacing w:before="100" w:beforeAutospacing="1" w:after="100" w:afterAutospacing="1" w:line="240" w:lineRule="auto"/>
      <w:jc w:val="center"/>
    </w:pPr>
    <w:rPr>
      <w:rFonts w:ascii="Times New Roman" w:hAnsi="Times New Roman"/>
      <w:sz w:val="16"/>
      <w:szCs w:val="16"/>
    </w:rPr>
  </w:style>
  <w:style w:type="paragraph" w:customStyle="1" w:styleId="xl343">
    <w:name w:val="xl343"/>
    <w:basedOn w:val="Normal"/>
    <w:uiPriority w:val="99"/>
    <w:rsid w:val="002A4C69"/>
    <w:pPr>
      <w:pBdr>
        <w:top w:val="single" w:sz="4" w:space="0" w:color="BFBFBF"/>
        <w:lef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44">
    <w:name w:val="xl344"/>
    <w:basedOn w:val="Normal"/>
    <w:uiPriority w:val="99"/>
    <w:rsid w:val="002A4C69"/>
    <w:pPr>
      <w:pBdr>
        <w:top w:val="single" w:sz="4" w:space="0" w:color="BFBFBF"/>
        <w:lef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45">
    <w:name w:val="xl345"/>
    <w:basedOn w:val="Normal"/>
    <w:uiPriority w:val="99"/>
    <w:rsid w:val="002A4C69"/>
    <w:pPr>
      <w:pBdr>
        <w:left w:val="single" w:sz="8" w:space="0" w:color="auto"/>
        <w:right w:val="single" w:sz="8" w:space="0" w:color="auto"/>
      </w:pBdr>
      <w:spacing w:before="100" w:beforeAutospacing="1" w:after="100" w:afterAutospacing="1" w:line="240" w:lineRule="auto"/>
    </w:pPr>
  </w:style>
  <w:style w:type="paragraph" w:customStyle="1" w:styleId="xl346">
    <w:name w:val="xl346"/>
    <w:basedOn w:val="Normal"/>
    <w:uiPriority w:val="99"/>
    <w:rsid w:val="002A4C69"/>
    <w:pPr>
      <w:pBdr>
        <w:left w:val="single" w:sz="8" w:space="0" w:color="auto"/>
        <w:bottom w:val="single" w:sz="8" w:space="0" w:color="auto"/>
        <w:right w:val="single" w:sz="8" w:space="0" w:color="auto"/>
      </w:pBdr>
      <w:spacing w:before="100" w:beforeAutospacing="1" w:after="100" w:afterAutospacing="1" w:line="240" w:lineRule="auto"/>
    </w:pPr>
  </w:style>
  <w:style w:type="paragraph" w:customStyle="1" w:styleId="xl347">
    <w:name w:val="xl347"/>
    <w:basedOn w:val="Normal"/>
    <w:uiPriority w:val="99"/>
    <w:rsid w:val="002A4C69"/>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48">
    <w:name w:val="xl348"/>
    <w:basedOn w:val="Normal"/>
    <w:uiPriority w:val="99"/>
    <w:rsid w:val="002A4C69"/>
    <w:pPr>
      <w:pBdr>
        <w:left w:val="single" w:sz="4" w:space="0" w:color="auto"/>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49">
    <w:name w:val="xl349"/>
    <w:basedOn w:val="Normal"/>
    <w:uiPriority w:val="99"/>
    <w:rsid w:val="002A4C69"/>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350">
    <w:name w:val="xl350"/>
    <w:basedOn w:val="Normal"/>
    <w:uiPriority w:val="99"/>
    <w:rsid w:val="002A4C69"/>
    <w:pPr>
      <w:pBdr>
        <w:top w:val="single" w:sz="8"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1">
    <w:name w:val="xl351"/>
    <w:basedOn w:val="Normal"/>
    <w:uiPriority w:val="99"/>
    <w:rsid w:val="002A4C69"/>
    <w:pPr>
      <w:pBdr>
        <w:top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52">
    <w:name w:val="xl352"/>
    <w:basedOn w:val="Normal"/>
    <w:uiPriority w:val="99"/>
    <w:rsid w:val="002A4C69"/>
    <w:pPr>
      <w:pBdr>
        <w:bottom w:val="single" w:sz="4" w:space="0" w:color="BFBFBF"/>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53">
    <w:name w:val="xl353"/>
    <w:basedOn w:val="Normal"/>
    <w:uiPriority w:val="99"/>
    <w:rsid w:val="002A4C69"/>
    <w:pPr>
      <w:pBdr>
        <w:left w:val="single" w:sz="4" w:space="0" w:color="auto"/>
        <w:bottom w:val="single" w:sz="4" w:space="0" w:color="BFBFBF"/>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54">
    <w:name w:val="xl354"/>
    <w:basedOn w:val="Normal"/>
    <w:uiPriority w:val="99"/>
    <w:rsid w:val="002A4C6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355">
    <w:name w:val="xl355"/>
    <w:basedOn w:val="Normal"/>
    <w:uiPriority w:val="99"/>
    <w:rsid w:val="002A4C6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6">
    <w:name w:val="xl356"/>
    <w:basedOn w:val="Normal"/>
    <w:uiPriority w:val="99"/>
    <w:rsid w:val="002A4C69"/>
    <w:pPr>
      <w:pBdr>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357">
    <w:name w:val="xl357"/>
    <w:basedOn w:val="Normal"/>
    <w:uiPriority w:val="99"/>
    <w:rsid w:val="002A4C69"/>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8">
    <w:name w:val="xl358"/>
    <w:basedOn w:val="Normal"/>
    <w:uiPriority w:val="99"/>
    <w:rsid w:val="002A4C69"/>
    <w:pPr>
      <w:pBdr>
        <w:left w:val="single" w:sz="8" w:space="0" w:color="auto"/>
        <w:bottom w:val="single" w:sz="4" w:space="0" w:color="BFBFBF"/>
      </w:pBdr>
      <w:spacing w:before="100" w:beforeAutospacing="1" w:after="100" w:afterAutospacing="1" w:line="240" w:lineRule="auto"/>
    </w:pPr>
    <w:rPr>
      <w:rFonts w:ascii="Times New Roman" w:hAnsi="Times New Roman"/>
      <w:sz w:val="16"/>
      <w:szCs w:val="16"/>
    </w:rPr>
  </w:style>
  <w:style w:type="paragraph" w:customStyle="1" w:styleId="xl359">
    <w:name w:val="xl359"/>
    <w:basedOn w:val="Normal"/>
    <w:uiPriority w:val="99"/>
    <w:rsid w:val="002A4C69"/>
    <w:pPr>
      <w:pBdr>
        <w:top w:val="single" w:sz="4" w:space="0" w:color="BFBFBF"/>
        <w:lef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60">
    <w:name w:val="xl360"/>
    <w:basedOn w:val="Normal"/>
    <w:uiPriority w:val="99"/>
    <w:rsid w:val="002A4C69"/>
    <w:pPr>
      <w:pBdr>
        <w:lef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61">
    <w:name w:val="xl361"/>
    <w:basedOn w:val="Normal"/>
    <w:uiPriority w:val="99"/>
    <w:rsid w:val="002A4C69"/>
    <w:pPr>
      <w:pBdr>
        <w:top w:val="single" w:sz="8" w:space="0" w:color="auto"/>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62">
    <w:name w:val="xl362"/>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63">
    <w:name w:val="xl363"/>
    <w:basedOn w:val="Normal"/>
    <w:uiPriority w:val="99"/>
    <w:rsid w:val="002A4C69"/>
    <w:pPr>
      <w:pBdr>
        <w:top w:val="single" w:sz="4" w:space="0" w:color="BFBFBF"/>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64">
    <w:name w:val="xl364"/>
    <w:basedOn w:val="Normal"/>
    <w:uiPriority w:val="99"/>
    <w:rsid w:val="002A4C69"/>
    <w:pPr>
      <w:pBdr>
        <w:top w:val="single" w:sz="4" w:space="0" w:color="BFBFBF"/>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65">
    <w:name w:val="xl365"/>
    <w:basedOn w:val="Normal"/>
    <w:uiPriority w:val="99"/>
    <w:rsid w:val="002A4C69"/>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366">
    <w:name w:val="xl366"/>
    <w:basedOn w:val="Normal"/>
    <w:uiPriority w:val="99"/>
    <w:rsid w:val="002A4C69"/>
    <w:pPr>
      <w:pBdr>
        <w:left w:val="single" w:sz="8" w:space="0" w:color="auto"/>
        <w:bottom w:val="single" w:sz="4" w:space="0" w:color="BFBFBF"/>
      </w:pBdr>
      <w:spacing w:before="100" w:beforeAutospacing="1" w:after="100" w:afterAutospacing="1" w:line="240" w:lineRule="auto"/>
    </w:pPr>
    <w:rPr>
      <w:rFonts w:ascii="Times New Roman" w:hAnsi="Times New Roman"/>
      <w:color w:val="000000"/>
      <w:sz w:val="16"/>
      <w:szCs w:val="16"/>
    </w:rPr>
  </w:style>
  <w:style w:type="paragraph" w:customStyle="1" w:styleId="xl367">
    <w:name w:val="xl367"/>
    <w:basedOn w:val="Normal"/>
    <w:uiPriority w:val="99"/>
    <w:rsid w:val="002A4C69"/>
    <w:pPr>
      <w:pBdr>
        <w:top w:val="single" w:sz="4" w:space="0" w:color="BFBFBF"/>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68">
    <w:name w:val="xl368"/>
    <w:basedOn w:val="Normal"/>
    <w:uiPriority w:val="99"/>
    <w:rsid w:val="002A4C69"/>
    <w:pPr>
      <w:pBdr>
        <w:top w:val="single" w:sz="4" w:space="0" w:color="BFBFBF"/>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69">
    <w:name w:val="xl369"/>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70">
    <w:name w:val="xl370"/>
    <w:basedOn w:val="Normal"/>
    <w:uiPriority w:val="99"/>
    <w:rsid w:val="002A4C69"/>
    <w:pPr>
      <w:pBdr>
        <w:left w:val="single" w:sz="8" w:space="0" w:color="auto"/>
        <w:bottom w:val="single" w:sz="4" w:space="0" w:color="BFBFBF"/>
        <w:righ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371">
    <w:name w:val="xl371"/>
    <w:basedOn w:val="Normal"/>
    <w:uiPriority w:val="99"/>
    <w:rsid w:val="002A4C69"/>
    <w:pPr>
      <w:pBdr>
        <w:top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372">
    <w:name w:val="xl372"/>
    <w:basedOn w:val="Normal"/>
    <w:uiPriority w:val="99"/>
    <w:rsid w:val="002A4C69"/>
    <w:pPr>
      <w:pBdr>
        <w:left w:val="single" w:sz="8"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373">
    <w:name w:val="xl373"/>
    <w:basedOn w:val="Normal"/>
    <w:uiPriority w:val="99"/>
    <w:rsid w:val="002A4C69"/>
    <w:pPr>
      <w:pBdr>
        <w:top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74">
    <w:name w:val="xl374"/>
    <w:basedOn w:val="Normal"/>
    <w:uiPriority w:val="99"/>
    <w:rsid w:val="002A4C69"/>
    <w:pPr>
      <w:pBdr>
        <w:left w:val="single" w:sz="4" w:space="0" w:color="auto"/>
        <w:right w:val="single" w:sz="8" w:space="0" w:color="auto"/>
      </w:pBdr>
      <w:shd w:val="clear" w:color="000000" w:fill="A5A5A5"/>
      <w:spacing w:before="100" w:beforeAutospacing="1" w:after="100" w:afterAutospacing="1" w:line="240" w:lineRule="auto"/>
      <w:jc w:val="center"/>
    </w:pPr>
    <w:rPr>
      <w:rFonts w:ascii="Times New Roman" w:hAnsi="Times New Roman"/>
      <w:sz w:val="16"/>
      <w:szCs w:val="16"/>
    </w:rPr>
  </w:style>
  <w:style w:type="paragraph" w:customStyle="1" w:styleId="xl375">
    <w:name w:val="xl375"/>
    <w:basedOn w:val="Normal"/>
    <w:uiPriority w:val="99"/>
    <w:rsid w:val="002A4C69"/>
    <w:pPr>
      <w:pBdr>
        <w:lef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376">
    <w:name w:val="xl376"/>
    <w:basedOn w:val="Normal"/>
    <w:uiPriority w:val="99"/>
    <w:rsid w:val="002A4C69"/>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77">
    <w:name w:val="xl377"/>
    <w:basedOn w:val="Normal"/>
    <w:uiPriority w:val="99"/>
    <w:rsid w:val="002A4C69"/>
    <w:pPr>
      <w:pBdr>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78">
    <w:name w:val="xl378"/>
    <w:basedOn w:val="Normal"/>
    <w:uiPriority w:val="99"/>
    <w:rsid w:val="002A4C69"/>
    <w:pPr>
      <w:pBdr>
        <w:left w:val="single" w:sz="4" w:space="0" w:color="auto"/>
        <w:bottom w:val="single" w:sz="4" w:space="0" w:color="D8D8D8"/>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79">
    <w:name w:val="xl379"/>
    <w:basedOn w:val="Normal"/>
    <w:uiPriority w:val="99"/>
    <w:rsid w:val="002A4C69"/>
    <w:pPr>
      <w:pBdr>
        <w:top w:val="single" w:sz="4" w:space="0" w:color="D8D8D8"/>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0">
    <w:name w:val="xl380"/>
    <w:basedOn w:val="Normal"/>
    <w:uiPriority w:val="99"/>
    <w:rsid w:val="002A4C69"/>
    <w:pPr>
      <w:pBdr>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1">
    <w:name w:val="xl381"/>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2">
    <w:name w:val="xl382"/>
    <w:basedOn w:val="Normal"/>
    <w:uiPriority w:val="99"/>
    <w:rsid w:val="002A4C69"/>
    <w:pPr>
      <w:pBdr>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3">
    <w:name w:val="xl383"/>
    <w:basedOn w:val="Normal"/>
    <w:uiPriority w:val="99"/>
    <w:rsid w:val="002A4C69"/>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4">
    <w:name w:val="xl384"/>
    <w:basedOn w:val="Normal"/>
    <w:uiPriority w:val="99"/>
    <w:rsid w:val="002A4C69"/>
    <w:pPr>
      <w:pBdr>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85">
    <w:name w:val="xl385"/>
    <w:basedOn w:val="Normal"/>
    <w:uiPriority w:val="99"/>
    <w:rsid w:val="002A4C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86">
    <w:name w:val="xl386"/>
    <w:basedOn w:val="Normal"/>
    <w:uiPriority w:val="99"/>
    <w:rsid w:val="002A4C69"/>
    <w:pPr>
      <w:pBdr>
        <w:top w:val="single" w:sz="4" w:space="0" w:color="auto"/>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7">
    <w:name w:val="xl387"/>
    <w:basedOn w:val="Normal"/>
    <w:uiPriority w:val="99"/>
    <w:rsid w:val="002A4C69"/>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88">
    <w:name w:val="xl388"/>
    <w:basedOn w:val="Normal"/>
    <w:uiPriority w:val="99"/>
    <w:rsid w:val="002A4C69"/>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89">
    <w:name w:val="xl389"/>
    <w:basedOn w:val="Normal"/>
    <w:uiPriority w:val="99"/>
    <w:rsid w:val="002A4C69"/>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90">
    <w:name w:val="xl390"/>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1">
    <w:name w:val="xl391"/>
    <w:basedOn w:val="Normal"/>
    <w:uiPriority w:val="99"/>
    <w:rsid w:val="002A4C69"/>
    <w:pPr>
      <w:pBdr>
        <w:top w:val="single" w:sz="4" w:space="0" w:color="BFBFBF"/>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2">
    <w:name w:val="xl392"/>
    <w:basedOn w:val="Normal"/>
    <w:uiPriority w:val="99"/>
    <w:rsid w:val="002A4C69"/>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93">
    <w:name w:val="xl393"/>
    <w:basedOn w:val="Normal"/>
    <w:uiPriority w:val="99"/>
    <w:rsid w:val="002A4C69"/>
    <w:pPr>
      <w:pBdr>
        <w:top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94">
    <w:name w:val="xl394"/>
    <w:basedOn w:val="Normal"/>
    <w:uiPriority w:val="99"/>
    <w:rsid w:val="002A4C69"/>
    <w:pPr>
      <w:pBdr>
        <w:top w:val="single" w:sz="4" w:space="0" w:color="BFBFBF"/>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5">
    <w:name w:val="xl395"/>
    <w:basedOn w:val="Normal"/>
    <w:uiPriority w:val="99"/>
    <w:rsid w:val="002A4C69"/>
    <w:pPr>
      <w:pBdr>
        <w:top w:val="single" w:sz="4" w:space="0" w:color="auto"/>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6">
    <w:name w:val="xl396"/>
    <w:basedOn w:val="Normal"/>
    <w:uiPriority w:val="99"/>
    <w:rsid w:val="002A4C69"/>
    <w:pPr>
      <w:pBdr>
        <w:top w:val="single" w:sz="4" w:space="0" w:color="BFBFBF"/>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7">
    <w:name w:val="xl397"/>
    <w:basedOn w:val="Normal"/>
    <w:uiPriority w:val="99"/>
    <w:rsid w:val="002A4C69"/>
    <w:pPr>
      <w:pBdr>
        <w:top w:val="single" w:sz="4" w:space="0" w:color="auto"/>
        <w:left w:val="single" w:sz="4" w:space="0" w:color="auto"/>
        <w:bottom w:val="single" w:sz="4" w:space="0" w:color="BFBFBF"/>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8">
    <w:name w:val="xl398"/>
    <w:basedOn w:val="Normal"/>
    <w:uiPriority w:val="99"/>
    <w:rsid w:val="002A4C69"/>
    <w:pPr>
      <w:pBdr>
        <w:top w:val="single" w:sz="4" w:space="0" w:color="BFBFBF"/>
        <w:left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16"/>
      <w:szCs w:val="16"/>
    </w:rPr>
  </w:style>
  <w:style w:type="paragraph" w:customStyle="1" w:styleId="xl399">
    <w:name w:val="xl399"/>
    <w:basedOn w:val="Normal"/>
    <w:uiPriority w:val="99"/>
    <w:rsid w:val="002A4C69"/>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400">
    <w:name w:val="xl400"/>
    <w:basedOn w:val="Normal"/>
    <w:uiPriority w:val="99"/>
    <w:rsid w:val="002A4C69"/>
    <w:pPr>
      <w:pBdr>
        <w:bottom w:val="single" w:sz="8" w:space="0" w:color="auto"/>
        <w:right w:val="single" w:sz="8" w:space="0" w:color="auto"/>
      </w:pBdr>
      <w:spacing w:before="100" w:beforeAutospacing="1" w:after="100" w:afterAutospacing="1" w:line="240" w:lineRule="auto"/>
    </w:pPr>
  </w:style>
  <w:style w:type="paragraph" w:customStyle="1" w:styleId="xl401">
    <w:name w:val="xl401"/>
    <w:basedOn w:val="Normal"/>
    <w:uiPriority w:val="99"/>
    <w:rsid w:val="002A4C69"/>
    <w:pPr>
      <w:pBdr>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402">
    <w:name w:val="xl402"/>
    <w:basedOn w:val="Normal"/>
    <w:uiPriority w:val="99"/>
    <w:rsid w:val="002A4C69"/>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table" w:customStyle="1" w:styleId="TableGrid1">
    <w:name w:val="Table Grid1"/>
    <w:uiPriority w:val="99"/>
    <w:rsid w:val="00E557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E557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uiPriority w:val="99"/>
    <w:rsid w:val="00E557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3158F"/>
    <w:pPr>
      <w:spacing w:after="240" w:line="249" w:lineRule="atLeast"/>
    </w:pPr>
    <w:rPr>
      <w:rFonts w:ascii="Times New Roman" w:hAnsi="Times New Roman"/>
      <w:sz w:val="17"/>
      <w:szCs w:val="17"/>
    </w:rPr>
  </w:style>
  <w:style w:type="paragraph" w:styleId="BodyText">
    <w:name w:val="Body Text"/>
    <w:basedOn w:val="Normal"/>
    <w:link w:val="BodyTextChar"/>
    <w:uiPriority w:val="99"/>
    <w:semiHidden/>
    <w:rsid w:val="00215EC2"/>
    <w:pPr>
      <w:spacing w:after="120"/>
    </w:pPr>
  </w:style>
  <w:style w:type="character" w:customStyle="1" w:styleId="BodyTextChar">
    <w:name w:val="Body Text Char"/>
    <w:basedOn w:val="DefaultParagraphFont"/>
    <w:link w:val="BodyText"/>
    <w:uiPriority w:val="99"/>
    <w:semiHidden/>
    <w:locked/>
    <w:rsid w:val="00215EC2"/>
    <w:rPr>
      <w:rFonts w:cs="Times New Roman"/>
      <w:sz w:val="22"/>
      <w:szCs w:val="22"/>
    </w:rPr>
  </w:style>
</w:styles>
</file>

<file path=word/webSettings.xml><?xml version="1.0" encoding="utf-8"?>
<w:webSettings xmlns:r="http://schemas.openxmlformats.org/officeDocument/2006/relationships" xmlns:w="http://schemas.openxmlformats.org/wordprocessingml/2006/main">
  <w:divs>
    <w:div w:id="1597399309">
      <w:marLeft w:val="0"/>
      <w:marRight w:val="0"/>
      <w:marTop w:val="0"/>
      <w:marBottom w:val="0"/>
      <w:divBdr>
        <w:top w:val="none" w:sz="0" w:space="0" w:color="auto"/>
        <w:left w:val="none" w:sz="0" w:space="0" w:color="auto"/>
        <w:bottom w:val="none" w:sz="0" w:space="0" w:color="auto"/>
        <w:right w:val="none" w:sz="0" w:space="0" w:color="auto"/>
      </w:divBdr>
    </w:div>
    <w:div w:id="1597399310">
      <w:marLeft w:val="0"/>
      <w:marRight w:val="0"/>
      <w:marTop w:val="0"/>
      <w:marBottom w:val="0"/>
      <w:divBdr>
        <w:top w:val="none" w:sz="0" w:space="0" w:color="auto"/>
        <w:left w:val="none" w:sz="0" w:space="0" w:color="auto"/>
        <w:bottom w:val="none" w:sz="0" w:space="0" w:color="auto"/>
        <w:right w:val="none" w:sz="0" w:space="0" w:color="auto"/>
      </w:divBdr>
    </w:div>
    <w:div w:id="1597399311">
      <w:marLeft w:val="0"/>
      <w:marRight w:val="0"/>
      <w:marTop w:val="0"/>
      <w:marBottom w:val="0"/>
      <w:divBdr>
        <w:top w:val="none" w:sz="0" w:space="0" w:color="auto"/>
        <w:left w:val="none" w:sz="0" w:space="0" w:color="auto"/>
        <w:bottom w:val="none" w:sz="0" w:space="0" w:color="auto"/>
        <w:right w:val="none" w:sz="0" w:space="0" w:color="auto"/>
      </w:divBdr>
      <w:divsChild>
        <w:div w:id="1597399312">
          <w:marLeft w:val="0"/>
          <w:marRight w:val="0"/>
          <w:marTop w:val="0"/>
          <w:marBottom w:val="0"/>
          <w:divBdr>
            <w:top w:val="none" w:sz="0" w:space="0" w:color="auto"/>
            <w:left w:val="none" w:sz="0" w:space="0" w:color="auto"/>
            <w:bottom w:val="none" w:sz="0" w:space="0" w:color="auto"/>
            <w:right w:val="none" w:sz="0" w:space="0" w:color="auto"/>
          </w:divBdr>
          <w:divsChild>
            <w:div w:id="1597399344">
              <w:marLeft w:val="0"/>
              <w:marRight w:val="0"/>
              <w:marTop w:val="0"/>
              <w:marBottom w:val="0"/>
              <w:divBdr>
                <w:top w:val="none" w:sz="0" w:space="0" w:color="auto"/>
                <w:left w:val="none" w:sz="0" w:space="0" w:color="auto"/>
                <w:bottom w:val="none" w:sz="0" w:space="0" w:color="auto"/>
                <w:right w:val="none" w:sz="0" w:space="0" w:color="auto"/>
              </w:divBdr>
              <w:divsChild>
                <w:div w:id="1597399345">
                  <w:marLeft w:val="0"/>
                  <w:marRight w:val="0"/>
                  <w:marTop w:val="0"/>
                  <w:marBottom w:val="0"/>
                  <w:divBdr>
                    <w:top w:val="none" w:sz="0" w:space="0" w:color="auto"/>
                    <w:left w:val="none" w:sz="0" w:space="0" w:color="auto"/>
                    <w:bottom w:val="none" w:sz="0" w:space="0" w:color="auto"/>
                    <w:right w:val="none" w:sz="0" w:space="0" w:color="auto"/>
                  </w:divBdr>
                  <w:divsChild>
                    <w:div w:id="1597399308">
                      <w:marLeft w:val="0"/>
                      <w:marRight w:val="0"/>
                      <w:marTop w:val="0"/>
                      <w:marBottom w:val="0"/>
                      <w:divBdr>
                        <w:top w:val="none" w:sz="0" w:space="0" w:color="auto"/>
                        <w:left w:val="none" w:sz="0" w:space="0" w:color="auto"/>
                        <w:bottom w:val="none" w:sz="0" w:space="0" w:color="auto"/>
                        <w:right w:val="none" w:sz="0" w:space="0" w:color="auto"/>
                      </w:divBdr>
                    </w:div>
                  </w:divsChild>
                </w:div>
                <w:div w:id="1597399379">
                  <w:marLeft w:val="0"/>
                  <w:marRight w:val="0"/>
                  <w:marTop w:val="0"/>
                  <w:marBottom w:val="0"/>
                  <w:divBdr>
                    <w:top w:val="none" w:sz="0" w:space="0" w:color="auto"/>
                    <w:left w:val="none" w:sz="0" w:space="0" w:color="auto"/>
                    <w:bottom w:val="none" w:sz="0" w:space="0" w:color="auto"/>
                    <w:right w:val="none" w:sz="0" w:space="0" w:color="auto"/>
                  </w:divBdr>
                  <w:divsChild>
                    <w:div w:id="1597399369">
                      <w:marLeft w:val="2736"/>
                      <w:marRight w:val="285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99313">
      <w:marLeft w:val="0"/>
      <w:marRight w:val="0"/>
      <w:marTop w:val="0"/>
      <w:marBottom w:val="0"/>
      <w:divBdr>
        <w:top w:val="none" w:sz="0" w:space="0" w:color="auto"/>
        <w:left w:val="none" w:sz="0" w:space="0" w:color="auto"/>
        <w:bottom w:val="none" w:sz="0" w:space="0" w:color="auto"/>
        <w:right w:val="none" w:sz="0" w:space="0" w:color="auto"/>
      </w:divBdr>
    </w:div>
    <w:div w:id="1597399315">
      <w:marLeft w:val="0"/>
      <w:marRight w:val="0"/>
      <w:marTop w:val="0"/>
      <w:marBottom w:val="0"/>
      <w:divBdr>
        <w:top w:val="none" w:sz="0" w:space="0" w:color="auto"/>
        <w:left w:val="none" w:sz="0" w:space="0" w:color="auto"/>
        <w:bottom w:val="none" w:sz="0" w:space="0" w:color="auto"/>
        <w:right w:val="none" w:sz="0" w:space="0" w:color="auto"/>
      </w:divBdr>
    </w:div>
    <w:div w:id="1597399316">
      <w:marLeft w:val="0"/>
      <w:marRight w:val="0"/>
      <w:marTop w:val="0"/>
      <w:marBottom w:val="0"/>
      <w:divBdr>
        <w:top w:val="none" w:sz="0" w:space="0" w:color="auto"/>
        <w:left w:val="none" w:sz="0" w:space="0" w:color="auto"/>
        <w:bottom w:val="none" w:sz="0" w:space="0" w:color="auto"/>
        <w:right w:val="none" w:sz="0" w:space="0" w:color="auto"/>
      </w:divBdr>
    </w:div>
    <w:div w:id="1597399317">
      <w:marLeft w:val="0"/>
      <w:marRight w:val="0"/>
      <w:marTop w:val="0"/>
      <w:marBottom w:val="0"/>
      <w:divBdr>
        <w:top w:val="none" w:sz="0" w:space="0" w:color="auto"/>
        <w:left w:val="none" w:sz="0" w:space="0" w:color="auto"/>
        <w:bottom w:val="none" w:sz="0" w:space="0" w:color="auto"/>
        <w:right w:val="none" w:sz="0" w:space="0" w:color="auto"/>
      </w:divBdr>
    </w:div>
    <w:div w:id="1597399318">
      <w:marLeft w:val="0"/>
      <w:marRight w:val="0"/>
      <w:marTop w:val="0"/>
      <w:marBottom w:val="0"/>
      <w:divBdr>
        <w:top w:val="none" w:sz="0" w:space="0" w:color="auto"/>
        <w:left w:val="none" w:sz="0" w:space="0" w:color="auto"/>
        <w:bottom w:val="none" w:sz="0" w:space="0" w:color="auto"/>
        <w:right w:val="none" w:sz="0" w:space="0" w:color="auto"/>
      </w:divBdr>
    </w:div>
    <w:div w:id="1597399321">
      <w:marLeft w:val="0"/>
      <w:marRight w:val="0"/>
      <w:marTop w:val="0"/>
      <w:marBottom w:val="0"/>
      <w:divBdr>
        <w:top w:val="none" w:sz="0" w:space="0" w:color="auto"/>
        <w:left w:val="none" w:sz="0" w:space="0" w:color="auto"/>
        <w:bottom w:val="none" w:sz="0" w:space="0" w:color="auto"/>
        <w:right w:val="none" w:sz="0" w:space="0" w:color="auto"/>
      </w:divBdr>
    </w:div>
    <w:div w:id="1597399322">
      <w:marLeft w:val="0"/>
      <w:marRight w:val="0"/>
      <w:marTop w:val="0"/>
      <w:marBottom w:val="0"/>
      <w:divBdr>
        <w:top w:val="none" w:sz="0" w:space="0" w:color="auto"/>
        <w:left w:val="none" w:sz="0" w:space="0" w:color="auto"/>
        <w:bottom w:val="none" w:sz="0" w:space="0" w:color="auto"/>
        <w:right w:val="none" w:sz="0" w:space="0" w:color="auto"/>
      </w:divBdr>
    </w:div>
    <w:div w:id="1597399323">
      <w:marLeft w:val="0"/>
      <w:marRight w:val="0"/>
      <w:marTop w:val="0"/>
      <w:marBottom w:val="0"/>
      <w:divBdr>
        <w:top w:val="none" w:sz="0" w:space="0" w:color="auto"/>
        <w:left w:val="none" w:sz="0" w:space="0" w:color="auto"/>
        <w:bottom w:val="none" w:sz="0" w:space="0" w:color="auto"/>
        <w:right w:val="none" w:sz="0" w:space="0" w:color="auto"/>
      </w:divBdr>
    </w:div>
    <w:div w:id="1597399324">
      <w:marLeft w:val="0"/>
      <w:marRight w:val="0"/>
      <w:marTop w:val="0"/>
      <w:marBottom w:val="0"/>
      <w:divBdr>
        <w:top w:val="none" w:sz="0" w:space="0" w:color="auto"/>
        <w:left w:val="none" w:sz="0" w:space="0" w:color="auto"/>
        <w:bottom w:val="none" w:sz="0" w:space="0" w:color="auto"/>
        <w:right w:val="none" w:sz="0" w:space="0" w:color="auto"/>
      </w:divBdr>
    </w:div>
    <w:div w:id="1597399325">
      <w:marLeft w:val="0"/>
      <w:marRight w:val="0"/>
      <w:marTop w:val="0"/>
      <w:marBottom w:val="0"/>
      <w:divBdr>
        <w:top w:val="none" w:sz="0" w:space="0" w:color="auto"/>
        <w:left w:val="none" w:sz="0" w:space="0" w:color="auto"/>
        <w:bottom w:val="none" w:sz="0" w:space="0" w:color="auto"/>
        <w:right w:val="none" w:sz="0" w:space="0" w:color="auto"/>
      </w:divBdr>
    </w:div>
    <w:div w:id="1597399326">
      <w:marLeft w:val="0"/>
      <w:marRight w:val="0"/>
      <w:marTop w:val="0"/>
      <w:marBottom w:val="0"/>
      <w:divBdr>
        <w:top w:val="none" w:sz="0" w:space="0" w:color="auto"/>
        <w:left w:val="none" w:sz="0" w:space="0" w:color="auto"/>
        <w:bottom w:val="none" w:sz="0" w:space="0" w:color="auto"/>
        <w:right w:val="none" w:sz="0" w:space="0" w:color="auto"/>
      </w:divBdr>
    </w:div>
    <w:div w:id="1597399327">
      <w:marLeft w:val="0"/>
      <w:marRight w:val="0"/>
      <w:marTop w:val="0"/>
      <w:marBottom w:val="0"/>
      <w:divBdr>
        <w:top w:val="none" w:sz="0" w:space="0" w:color="auto"/>
        <w:left w:val="none" w:sz="0" w:space="0" w:color="auto"/>
        <w:bottom w:val="none" w:sz="0" w:space="0" w:color="auto"/>
        <w:right w:val="none" w:sz="0" w:space="0" w:color="auto"/>
      </w:divBdr>
    </w:div>
    <w:div w:id="1597399328">
      <w:marLeft w:val="0"/>
      <w:marRight w:val="0"/>
      <w:marTop w:val="0"/>
      <w:marBottom w:val="0"/>
      <w:divBdr>
        <w:top w:val="none" w:sz="0" w:space="0" w:color="auto"/>
        <w:left w:val="none" w:sz="0" w:space="0" w:color="auto"/>
        <w:bottom w:val="none" w:sz="0" w:space="0" w:color="auto"/>
        <w:right w:val="none" w:sz="0" w:space="0" w:color="auto"/>
      </w:divBdr>
    </w:div>
    <w:div w:id="1597399329">
      <w:marLeft w:val="0"/>
      <w:marRight w:val="0"/>
      <w:marTop w:val="0"/>
      <w:marBottom w:val="0"/>
      <w:divBdr>
        <w:top w:val="none" w:sz="0" w:space="0" w:color="auto"/>
        <w:left w:val="none" w:sz="0" w:space="0" w:color="auto"/>
        <w:bottom w:val="none" w:sz="0" w:space="0" w:color="auto"/>
        <w:right w:val="none" w:sz="0" w:space="0" w:color="auto"/>
      </w:divBdr>
    </w:div>
    <w:div w:id="1597399330">
      <w:marLeft w:val="0"/>
      <w:marRight w:val="0"/>
      <w:marTop w:val="0"/>
      <w:marBottom w:val="0"/>
      <w:divBdr>
        <w:top w:val="none" w:sz="0" w:space="0" w:color="auto"/>
        <w:left w:val="none" w:sz="0" w:space="0" w:color="auto"/>
        <w:bottom w:val="none" w:sz="0" w:space="0" w:color="auto"/>
        <w:right w:val="none" w:sz="0" w:space="0" w:color="auto"/>
      </w:divBdr>
    </w:div>
    <w:div w:id="1597399331">
      <w:marLeft w:val="0"/>
      <w:marRight w:val="0"/>
      <w:marTop w:val="0"/>
      <w:marBottom w:val="0"/>
      <w:divBdr>
        <w:top w:val="none" w:sz="0" w:space="0" w:color="auto"/>
        <w:left w:val="none" w:sz="0" w:space="0" w:color="auto"/>
        <w:bottom w:val="none" w:sz="0" w:space="0" w:color="auto"/>
        <w:right w:val="none" w:sz="0" w:space="0" w:color="auto"/>
      </w:divBdr>
    </w:div>
    <w:div w:id="1597399332">
      <w:marLeft w:val="0"/>
      <w:marRight w:val="0"/>
      <w:marTop w:val="0"/>
      <w:marBottom w:val="0"/>
      <w:divBdr>
        <w:top w:val="none" w:sz="0" w:space="0" w:color="auto"/>
        <w:left w:val="none" w:sz="0" w:space="0" w:color="auto"/>
        <w:bottom w:val="none" w:sz="0" w:space="0" w:color="auto"/>
        <w:right w:val="none" w:sz="0" w:space="0" w:color="auto"/>
      </w:divBdr>
    </w:div>
    <w:div w:id="1597399333">
      <w:marLeft w:val="0"/>
      <w:marRight w:val="0"/>
      <w:marTop w:val="0"/>
      <w:marBottom w:val="0"/>
      <w:divBdr>
        <w:top w:val="none" w:sz="0" w:space="0" w:color="auto"/>
        <w:left w:val="none" w:sz="0" w:space="0" w:color="auto"/>
        <w:bottom w:val="none" w:sz="0" w:space="0" w:color="auto"/>
        <w:right w:val="none" w:sz="0" w:space="0" w:color="auto"/>
      </w:divBdr>
    </w:div>
    <w:div w:id="1597399334">
      <w:marLeft w:val="0"/>
      <w:marRight w:val="0"/>
      <w:marTop w:val="0"/>
      <w:marBottom w:val="0"/>
      <w:divBdr>
        <w:top w:val="none" w:sz="0" w:space="0" w:color="auto"/>
        <w:left w:val="none" w:sz="0" w:space="0" w:color="auto"/>
        <w:bottom w:val="none" w:sz="0" w:space="0" w:color="auto"/>
        <w:right w:val="none" w:sz="0" w:space="0" w:color="auto"/>
      </w:divBdr>
    </w:div>
    <w:div w:id="1597399335">
      <w:marLeft w:val="0"/>
      <w:marRight w:val="0"/>
      <w:marTop w:val="0"/>
      <w:marBottom w:val="0"/>
      <w:divBdr>
        <w:top w:val="none" w:sz="0" w:space="0" w:color="auto"/>
        <w:left w:val="none" w:sz="0" w:space="0" w:color="auto"/>
        <w:bottom w:val="none" w:sz="0" w:space="0" w:color="auto"/>
        <w:right w:val="none" w:sz="0" w:space="0" w:color="auto"/>
      </w:divBdr>
    </w:div>
    <w:div w:id="1597399337">
      <w:marLeft w:val="0"/>
      <w:marRight w:val="0"/>
      <w:marTop w:val="0"/>
      <w:marBottom w:val="0"/>
      <w:divBdr>
        <w:top w:val="none" w:sz="0" w:space="0" w:color="auto"/>
        <w:left w:val="none" w:sz="0" w:space="0" w:color="auto"/>
        <w:bottom w:val="none" w:sz="0" w:space="0" w:color="auto"/>
        <w:right w:val="none" w:sz="0" w:space="0" w:color="auto"/>
      </w:divBdr>
    </w:div>
    <w:div w:id="1597399338">
      <w:marLeft w:val="0"/>
      <w:marRight w:val="0"/>
      <w:marTop w:val="0"/>
      <w:marBottom w:val="0"/>
      <w:divBdr>
        <w:top w:val="none" w:sz="0" w:space="0" w:color="auto"/>
        <w:left w:val="none" w:sz="0" w:space="0" w:color="auto"/>
        <w:bottom w:val="none" w:sz="0" w:space="0" w:color="auto"/>
        <w:right w:val="none" w:sz="0" w:space="0" w:color="auto"/>
      </w:divBdr>
    </w:div>
    <w:div w:id="1597399339">
      <w:marLeft w:val="0"/>
      <w:marRight w:val="0"/>
      <w:marTop w:val="0"/>
      <w:marBottom w:val="0"/>
      <w:divBdr>
        <w:top w:val="none" w:sz="0" w:space="0" w:color="auto"/>
        <w:left w:val="none" w:sz="0" w:space="0" w:color="auto"/>
        <w:bottom w:val="none" w:sz="0" w:space="0" w:color="auto"/>
        <w:right w:val="none" w:sz="0" w:space="0" w:color="auto"/>
      </w:divBdr>
    </w:div>
    <w:div w:id="1597399340">
      <w:marLeft w:val="0"/>
      <w:marRight w:val="0"/>
      <w:marTop w:val="0"/>
      <w:marBottom w:val="0"/>
      <w:divBdr>
        <w:top w:val="none" w:sz="0" w:space="0" w:color="auto"/>
        <w:left w:val="none" w:sz="0" w:space="0" w:color="auto"/>
        <w:bottom w:val="none" w:sz="0" w:space="0" w:color="auto"/>
        <w:right w:val="none" w:sz="0" w:space="0" w:color="auto"/>
      </w:divBdr>
    </w:div>
    <w:div w:id="1597399341">
      <w:marLeft w:val="0"/>
      <w:marRight w:val="0"/>
      <w:marTop w:val="0"/>
      <w:marBottom w:val="0"/>
      <w:divBdr>
        <w:top w:val="none" w:sz="0" w:space="0" w:color="auto"/>
        <w:left w:val="none" w:sz="0" w:space="0" w:color="auto"/>
        <w:bottom w:val="none" w:sz="0" w:space="0" w:color="auto"/>
        <w:right w:val="none" w:sz="0" w:space="0" w:color="auto"/>
      </w:divBdr>
    </w:div>
    <w:div w:id="1597399342">
      <w:marLeft w:val="0"/>
      <w:marRight w:val="0"/>
      <w:marTop w:val="0"/>
      <w:marBottom w:val="0"/>
      <w:divBdr>
        <w:top w:val="none" w:sz="0" w:space="0" w:color="auto"/>
        <w:left w:val="none" w:sz="0" w:space="0" w:color="auto"/>
        <w:bottom w:val="none" w:sz="0" w:space="0" w:color="auto"/>
        <w:right w:val="none" w:sz="0" w:space="0" w:color="auto"/>
      </w:divBdr>
    </w:div>
    <w:div w:id="1597399343">
      <w:marLeft w:val="0"/>
      <w:marRight w:val="0"/>
      <w:marTop w:val="0"/>
      <w:marBottom w:val="0"/>
      <w:divBdr>
        <w:top w:val="none" w:sz="0" w:space="0" w:color="auto"/>
        <w:left w:val="none" w:sz="0" w:space="0" w:color="auto"/>
        <w:bottom w:val="none" w:sz="0" w:space="0" w:color="auto"/>
        <w:right w:val="none" w:sz="0" w:space="0" w:color="auto"/>
      </w:divBdr>
    </w:div>
    <w:div w:id="1597399346">
      <w:marLeft w:val="0"/>
      <w:marRight w:val="0"/>
      <w:marTop w:val="0"/>
      <w:marBottom w:val="0"/>
      <w:divBdr>
        <w:top w:val="none" w:sz="0" w:space="0" w:color="auto"/>
        <w:left w:val="none" w:sz="0" w:space="0" w:color="auto"/>
        <w:bottom w:val="none" w:sz="0" w:space="0" w:color="auto"/>
        <w:right w:val="none" w:sz="0" w:space="0" w:color="auto"/>
      </w:divBdr>
    </w:div>
    <w:div w:id="1597399347">
      <w:marLeft w:val="0"/>
      <w:marRight w:val="0"/>
      <w:marTop w:val="0"/>
      <w:marBottom w:val="0"/>
      <w:divBdr>
        <w:top w:val="none" w:sz="0" w:space="0" w:color="auto"/>
        <w:left w:val="none" w:sz="0" w:space="0" w:color="auto"/>
        <w:bottom w:val="none" w:sz="0" w:space="0" w:color="auto"/>
        <w:right w:val="none" w:sz="0" w:space="0" w:color="auto"/>
      </w:divBdr>
    </w:div>
    <w:div w:id="1597399348">
      <w:marLeft w:val="0"/>
      <w:marRight w:val="0"/>
      <w:marTop w:val="0"/>
      <w:marBottom w:val="0"/>
      <w:divBdr>
        <w:top w:val="none" w:sz="0" w:space="0" w:color="auto"/>
        <w:left w:val="none" w:sz="0" w:space="0" w:color="auto"/>
        <w:bottom w:val="none" w:sz="0" w:space="0" w:color="auto"/>
        <w:right w:val="none" w:sz="0" w:space="0" w:color="auto"/>
      </w:divBdr>
    </w:div>
    <w:div w:id="1597399349">
      <w:marLeft w:val="0"/>
      <w:marRight w:val="0"/>
      <w:marTop w:val="0"/>
      <w:marBottom w:val="0"/>
      <w:divBdr>
        <w:top w:val="none" w:sz="0" w:space="0" w:color="auto"/>
        <w:left w:val="none" w:sz="0" w:space="0" w:color="auto"/>
        <w:bottom w:val="none" w:sz="0" w:space="0" w:color="auto"/>
        <w:right w:val="none" w:sz="0" w:space="0" w:color="auto"/>
      </w:divBdr>
    </w:div>
    <w:div w:id="1597399350">
      <w:marLeft w:val="0"/>
      <w:marRight w:val="0"/>
      <w:marTop w:val="0"/>
      <w:marBottom w:val="0"/>
      <w:divBdr>
        <w:top w:val="none" w:sz="0" w:space="0" w:color="auto"/>
        <w:left w:val="none" w:sz="0" w:space="0" w:color="auto"/>
        <w:bottom w:val="none" w:sz="0" w:space="0" w:color="auto"/>
        <w:right w:val="none" w:sz="0" w:space="0" w:color="auto"/>
      </w:divBdr>
    </w:div>
    <w:div w:id="1597399351">
      <w:marLeft w:val="0"/>
      <w:marRight w:val="0"/>
      <w:marTop w:val="0"/>
      <w:marBottom w:val="0"/>
      <w:divBdr>
        <w:top w:val="none" w:sz="0" w:space="0" w:color="auto"/>
        <w:left w:val="none" w:sz="0" w:space="0" w:color="auto"/>
        <w:bottom w:val="none" w:sz="0" w:space="0" w:color="auto"/>
        <w:right w:val="none" w:sz="0" w:space="0" w:color="auto"/>
      </w:divBdr>
    </w:div>
    <w:div w:id="1597399352">
      <w:marLeft w:val="0"/>
      <w:marRight w:val="0"/>
      <w:marTop w:val="0"/>
      <w:marBottom w:val="0"/>
      <w:divBdr>
        <w:top w:val="none" w:sz="0" w:space="0" w:color="auto"/>
        <w:left w:val="none" w:sz="0" w:space="0" w:color="auto"/>
        <w:bottom w:val="none" w:sz="0" w:space="0" w:color="auto"/>
        <w:right w:val="none" w:sz="0" w:space="0" w:color="auto"/>
      </w:divBdr>
    </w:div>
    <w:div w:id="1597399353">
      <w:marLeft w:val="0"/>
      <w:marRight w:val="0"/>
      <w:marTop w:val="0"/>
      <w:marBottom w:val="0"/>
      <w:divBdr>
        <w:top w:val="none" w:sz="0" w:space="0" w:color="auto"/>
        <w:left w:val="none" w:sz="0" w:space="0" w:color="auto"/>
        <w:bottom w:val="none" w:sz="0" w:space="0" w:color="auto"/>
        <w:right w:val="none" w:sz="0" w:space="0" w:color="auto"/>
      </w:divBdr>
    </w:div>
    <w:div w:id="1597399354">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597399356">
      <w:marLeft w:val="0"/>
      <w:marRight w:val="0"/>
      <w:marTop w:val="0"/>
      <w:marBottom w:val="0"/>
      <w:divBdr>
        <w:top w:val="none" w:sz="0" w:space="0" w:color="auto"/>
        <w:left w:val="none" w:sz="0" w:space="0" w:color="auto"/>
        <w:bottom w:val="none" w:sz="0" w:space="0" w:color="auto"/>
        <w:right w:val="none" w:sz="0" w:space="0" w:color="auto"/>
      </w:divBdr>
    </w:div>
    <w:div w:id="1597399357">
      <w:marLeft w:val="0"/>
      <w:marRight w:val="0"/>
      <w:marTop w:val="0"/>
      <w:marBottom w:val="0"/>
      <w:divBdr>
        <w:top w:val="none" w:sz="0" w:space="0" w:color="auto"/>
        <w:left w:val="none" w:sz="0" w:space="0" w:color="auto"/>
        <w:bottom w:val="none" w:sz="0" w:space="0" w:color="auto"/>
        <w:right w:val="none" w:sz="0" w:space="0" w:color="auto"/>
      </w:divBdr>
    </w:div>
    <w:div w:id="1597399358">
      <w:marLeft w:val="0"/>
      <w:marRight w:val="0"/>
      <w:marTop w:val="0"/>
      <w:marBottom w:val="0"/>
      <w:divBdr>
        <w:top w:val="none" w:sz="0" w:space="0" w:color="auto"/>
        <w:left w:val="none" w:sz="0" w:space="0" w:color="auto"/>
        <w:bottom w:val="none" w:sz="0" w:space="0" w:color="auto"/>
        <w:right w:val="none" w:sz="0" w:space="0" w:color="auto"/>
      </w:divBdr>
    </w:div>
    <w:div w:id="1597399359">
      <w:marLeft w:val="0"/>
      <w:marRight w:val="0"/>
      <w:marTop w:val="0"/>
      <w:marBottom w:val="0"/>
      <w:divBdr>
        <w:top w:val="none" w:sz="0" w:space="0" w:color="auto"/>
        <w:left w:val="none" w:sz="0" w:space="0" w:color="auto"/>
        <w:bottom w:val="none" w:sz="0" w:space="0" w:color="auto"/>
        <w:right w:val="none" w:sz="0" w:space="0" w:color="auto"/>
      </w:divBdr>
    </w:div>
    <w:div w:id="1597399360">
      <w:marLeft w:val="0"/>
      <w:marRight w:val="0"/>
      <w:marTop w:val="0"/>
      <w:marBottom w:val="0"/>
      <w:divBdr>
        <w:top w:val="none" w:sz="0" w:space="0" w:color="auto"/>
        <w:left w:val="none" w:sz="0" w:space="0" w:color="auto"/>
        <w:bottom w:val="none" w:sz="0" w:space="0" w:color="auto"/>
        <w:right w:val="none" w:sz="0" w:space="0" w:color="auto"/>
      </w:divBdr>
    </w:div>
    <w:div w:id="1597399361">
      <w:marLeft w:val="0"/>
      <w:marRight w:val="0"/>
      <w:marTop w:val="0"/>
      <w:marBottom w:val="0"/>
      <w:divBdr>
        <w:top w:val="none" w:sz="0" w:space="0" w:color="auto"/>
        <w:left w:val="none" w:sz="0" w:space="0" w:color="auto"/>
        <w:bottom w:val="none" w:sz="0" w:space="0" w:color="auto"/>
        <w:right w:val="none" w:sz="0" w:space="0" w:color="auto"/>
      </w:divBdr>
    </w:div>
    <w:div w:id="1597399362">
      <w:marLeft w:val="0"/>
      <w:marRight w:val="0"/>
      <w:marTop w:val="0"/>
      <w:marBottom w:val="0"/>
      <w:divBdr>
        <w:top w:val="none" w:sz="0" w:space="0" w:color="auto"/>
        <w:left w:val="none" w:sz="0" w:space="0" w:color="auto"/>
        <w:bottom w:val="none" w:sz="0" w:space="0" w:color="auto"/>
        <w:right w:val="none" w:sz="0" w:space="0" w:color="auto"/>
      </w:divBdr>
    </w:div>
    <w:div w:id="1597399363">
      <w:marLeft w:val="0"/>
      <w:marRight w:val="0"/>
      <w:marTop w:val="0"/>
      <w:marBottom w:val="0"/>
      <w:divBdr>
        <w:top w:val="none" w:sz="0" w:space="0" w:color="auto"/>
        <w:left w:val="none" w:sz="0" w:space="0" w:color="auto"/>
        <w:bottom w:val="none" w:sz="0" w:space="0" w:color="auto"/>
        <w:right w:val="none" w:sz="0" w:space="0" w:color="auto"/>
      </w:divBdr>
    </w:div>
    <w:div w:id="1597399364">
      <w:marLeft w:val="0"/>
      <w:marRight w:val="0"/>
      <w:marTop w:val="0"/>
      <w:marBottom w:val="0"/>
      <w:divBdr>
        <w:top w:val="none" w:sz="0" w:space="0" w:color="auto"/>
        <w:left w:val="none" w:sz="0" w:space="0" w:color="auto"/>
        <w:bottom w:val="none" w:sz="0" w:space="0" w:color="auto"/>
        <w:right w:val="none" w:sz="0" w:space="0" w:color="auto"/>
      </w:divBdr>
    </w:div>
    <w:div w:id="1597399365">
      <w:marLeft w:val="0"/>
      <w:marRight w:val="0"/>
      <w:marTop w:val="0"/>
      <w:marBottom w:val="0"/>
      <w:divBdr>
        <w:top w:val="none" w:sz="0" w:space="0" w:color="auto"/>
        <w:left w:val="none" w:sz="0" w:space="0" w:color="auto"/>
        <w:bottom w:val="none" w:sz="0" w:space="0" w:color="auto"/>
        <w:right w:val="none" w:sz="0" w:space="0" w:color="auto"/>
      </w:divBdr>
    </w:div>
    <w:div w:id="1597399366">
      <w:marLeft w:val="0"/>
      <w:marRight w:val="0"/>
      <w:marTop w:val="0"/>
      <w:marBottom w:val="0"/>
      <w:divBdr>
        <w:top w:val="none" w:sz="0" w:space="0" w:color="auto"/>
        <w:left w:val="none" w:sz="0" w:space="0" w:color="auto"/>
        <w:bottom w:val="none" w:sz="0" w:space="0" w:color="auto"/>
        <w:right w:val="none" w:sz="0" w:space="0" w:color="auto"/>
      </w:divBdr>
    </w:div>
    <w:div w:id="1597399367">
      <w:marLeft w:val="0"/>
      <w:marRight w:val="0"/>
      <w:marTop w:val="0"/>
      <w:marBottom w:val="0"/>
      <w:divBdr>
        <w:top w:val="none" w:sz="0" w:space="0" w:color="auto"/>
        <w:left w:val="none" w:sz="0" w:space="0" w:color="auto"/>
        <w:bottom w:val="none" w:sz="0" w:space="0" w:color="auto"/>
        <w:right w:val="none" w:sz="0" w:space="0" w:color="auto"/>
      </w:divBdr>
    </w:div>
    <w:div w:id="1597399368">
      <w:marLeft w:val="0"/>
      <w:marRight w:val="0"/>
      <w:marTop w:val="0"/>
      <w:marBottom w:val="0"/>
      <w:divBdr>
        <w:top w:val="none" w:sz="0" w:space="0" w:color="auto"/>
        <w:left w:val="none" w:sz="0" w:space="0" w:color="auto"/>
        <w:bottom w:val="none" w:sz="0" w:space="0" w:color="auto"/>
        <w:right w:val="none" w:sz="0" w:space="0" w:color="auto"/>
      </w:divBdr>
    </w:div>
    <w:div w:id="1597399370">
      <w:marLeft w:val="0"/>
      <w:marRight w:val="0"/>
      <w:marTop w:val="0"/>
      <w:marBottom w:val="0"/>
      <w:divBdr>
        <w:top w:val="none" w:sz="0" w:space="0" w:color="auto"/>
        <w:left w:val="none" w:sz="0" w:space="0" w:color="auto"/>
        <w:bottom w:val="none" w:sz="0" w:space="0" w:color="auto"/>
        <w:right w:val="none" w:sz="0" w:space="0" w:color="auto"/>
      </w:divBdr>
    </w:div>
    <w:div w:id="1597399372">
      <w:marLeft w:val="0"/>
      <w:marRight w:val="0"/>
      <w:marTop w:val="0"/>
      <w:marBottom w:val="0"/>
      <w:divBdr>
        <w:top w:val="none" w:sz="0" w:space="0" w:color="auto"/>
        <w:left w:val="none" w:sz="0" w:space="0" w:color="auto"/>
        <w:bottom w:val="none" w:sz="0" w:space="0" w:color="auto"/>
        <w:right w:val="none" w:sz="0" w:space="0" w:color="auto"/>
      </w:divBdr>
    </w:div>
    <w:div w:id="1597399373">
      <w:marLeft w:val="0"/>
      <w:marRight w:val="0"/>
      <w:marTop w:val="0"/>
      <w:marBottom w:val="0"/>
      <w:divBdr>
        <w:top w:val="none" w:sz="0" w:space="0" w:color="auto"/>
        <w:left w:val="none" w:sz="0" w:space="0" w:color="auto"/>
        <w:bottom w:val="none" w:sz="0" w:space="0" w:color="auto"/>
        <w:right w:val="none" w:sz="0" w:space="0" w:color="auto"/>
      </w:divBdr>
    </w:div>
    <w:div w:id="1597399374">
      <w:marLeft w:val="0"/>
      <w:marRight w:val="0"/>
      <w:marTop w:val="0"/>
      <w:marBottom w:val="0"/>
      <w:divBdr>
        <w:top w:val="none" w:sz="0" w:space="0" w:color="auto"/>
        <w:left w:val="none" w:sz="0" w:space="0" w:color="auto"/>
        <w:bottom w:val="none" w:sz="0" w:space="0" w:color="auto"/>
        <w:right w:val="none" w:sz="0" w:space="0" w:color="auto"/>
      </w:divBdr>
    </w:div>
    <w:div w:id="1597399375">
      <w:marLeft w:val="0"/>
      <w:marRight w:val="0"/>
      <w:marTop w:val="0"/>
      <w:marBottom w:val="0"/>
      <w:divBdr>
        <w:top w:val="none" w:sz="0" w:space="0" w:color="auto"/>
        <w:left w:val="none" w:sz="0" w:space="0" w:color="auto"/>
        <w:bottom w:val="none" w:sz="0" w:space="0" w:color="auto"/>
        <w:right w:val="none" w:sz="0" w:space="0" w:color="auto"/>
      </w:divBdr>
    </w:div>
    <w:div w:id="1597399376">
      <w:marLeft w:val="0"/>
      <w:marRight w:val="0"/>
      <w:marTop w:val="0"/>
      <w:marBottom w:val="0"/>
      <w:divBdr>
        <w:top w:val="none" w:sz="0" w:space="0" w:color="auto"/>
        <w:left w:val="none" w:sz="0" w:space="0" w:color="auto"/>
        <w:bottom w:val="none" w:sz="0" w:space="0" w:color="auto"/>
        <w:right w:val="none" w:sz="0" w:space="0" w:color="auto"/>
      </w:divBdr>
    </w:div>
    <w:div w:id="1597399377">
      <w:marLeft w:val="0"/>
      <w:marRight w:val="0"/>
      <w:marTop w:val="0"/>
      <w:marBottom w:val="0"/>
      <w:divBdr>
        <w:top w:val="none" w:sz="0" w:space="0" w:color="auto"/>
        <w:left w:val="none" w:sz="0" w:space="0" w:color="auto"/>
        <w:bottom w:val="none" w:sz="0" w:space="0" w:color="auto"/>
        <w:right w:val="none" w:sz="0" w:space="0" w:color="auto"/>
      </w:divBdr>
      <w:divsChild>
        <w:div w:id="1597399371">
          <w:marLeft w:val="0"/>
          <w:marRight w:val="0"/>
          <w:marTop w:val="0"/>
          <w:marBottom w:val="0"/>
          <w:divBdr>
            <w:top w:val="none" w:sz="0" w:space="0" w:color="auto"/>
            <w:left w:val="none" w:sz="0" w:space="0" w:color="auto"/>
            <w:bottom w:val="none" w:sz="0" w:space="0" w:color="auto"/>
            <w:right w:val="none" w:sz="0" w:space="0" w:color="auto"/>
          </w:divBdr>
          <w:divsChild>
            <w:div w:id="1597399386">
              <w:marLeft w:val="60"/>
              <w:marRight w:val="60"/>
              <w:marTop w:val="0"/>
              <w:marBottom w:val="0"/>
              <w:divBdr>
                <w:top w:val="none" w:sz="0" w:space="0" w:color="auto"/>
                <w:left w:val="none" w:sz="0" w:space="0" w:color="auto"/>
                <w:bottom w:val="none" w:sz="0" w:space="0" w:color="auto"/>
                <w:right w:val="none" w:sz="0" w:space="0" w:color="auto"/>
              </w:divBdr>
              <w:divsChild>
                <w:div w:id="15973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99378">
      <w:marLeft w:val="0"/>
      <w:marRight w:val="0"/>
      <w:marTop w:val="0"/>
      <w:marBottom w:val="0"/>
      <w:divBdr>
        <w:top w:val="none" w:sz="0" w:space="0" w:color="auto"/>
        <w:left w:val="none" w:sz="0" w:space="0" w:color="auto"/>
        <w:bottom w:val="none" w:sz="0" w:space="0" w:color="auto"/>
        <w:right w:val="none" w:sz="0" w:space="0" w:color="auto"/>
      </w:divBdr>
    </w:div>
    <w:div w:id="1597399380">
      <w:marLeft w:val="0"/>
      <w:marRight w:val="0"/>
      <w:marTop w:val="0"/>
      <w:marBottom w:val="0"/>
      <w:divBdr>
        <w:top w:val="none" w:sz="0" w:space="0" w:color="auto"/>
        <w:left w:val="none" w:sz="0" w:space="0" w:color="auto"/>
        <w:bottom w:val="none" w:sz="0" w:space="0" w:color="auto"/>
        <w:right w:val="none" w:sz="0" w:space="0" w:color="auto"/>
      </w:divBdr>
    </w:div>
    <w:div w:id="1597399381">
      <w:marLeft w:val="0"/>
      <w:marRight w:val="0"/>
      <w:marTop w:val="0"/>
      <w:marBottom w:val="0"/>
      <w:divBdr>
        <w:top w:val="none" w:sz="0" w:space="0" w:color="auto"/>
        <w:left w:val="none" w:sz="0" w:space="0" w:color="auto"/>
        <w:bottom w:val="none" w:sz="0" w:space="0" w:color="auto"/>
        <w:right w:val="none" w:sz="0" w:space="0" w:color="auto"/>
      </w:divBdr>
    </w:div>
    <w:div w:id="1597399382">
      <w:marLeft w:val="0"/>
      <w:marRight w:val="0"/>
      <w:marTop w:val="0"/>
      <w:marBottom w:val="0"/>
      <w:divBdr>
        <w:top w:val="none" w:sz="0" w:space="0" w:color="auto"/>
        <w:left w:val="none" w:sz="0" w:space="0" w:color="auto"/>
        <w:bottom w:val="none" w:sz="0" w:space="0" w:color="auto"/>
        <w:right w:val="none" w:sz="0" w:space="0" w:color="auto"/>
      </w:divBdr>
    </w:div>
    <w:div w:id="1597399383">
      <w:marLeft w:val="0"/>
      <w:marRight w:val="0"/>
      <w:marTop w:val="0"/>
      <w:marBottom w:val="0"/>
      <w:divBdr>
        <w:top w:val="none" w:sz="0" w:space="0" w:color="auto"/>
        <w:left w:val="none" w:sz="0" w:space="0" w:color="auto"/>
        <w:bottom w:val="none" w:sz="0" w:space="0" w:color="auto"/>
        <w:right w:val="none" w:sz="0" w:space="0" w:color="auto"/>
      </w:divBdr>
    </w:div>
    <w:div w:id="1597399384">
      <w:marLeft w:val="0"/>
      <w:marRight w:val="0"/>
      <w:marTop w:val="0"/>
      <w:marBottom w:val="0"/>
      <w:divBdr>
        <w:top w:val="none" w:sz="0" w:space="0" w:color="auto"/>
        <w:left w:val="none" w:sz="0" w:space="0" w:color="auto"/>
        <w:bottom w:val="none" w:sz="0" w:space="0" w:color="auto"/>
        <w:right w:val="none" w:sz="0" w:space="0" w:color="auto"/>
      </w:divBdr>
    </w:div>
    <w:div w:id="1597399385">
      <w:marLeft w:val="0"/>
      <w:marRight w:val="0"/>
      <w:marTop w:val="0"/>
      <w:marBottom w:val="0"/>
      <w:divBdr>
        <w:top w:val="none" w:sz="0" w:space="0" w:color="auto"/>
        <w:left w:val="none" w:sz="0" w:space="0" w:color="auto"/>
        <w:bottom w:val="none" w:sz="0" w:space="0" w:color="auto"/>
        <w:right w:val="none" w:sz="0" w:space="0" w:color="auto"/>
      </w:divBdr>
    </w:div>
    <w:div w:id="1597399387">
      <w:marLeft w:val="0"/>
      <w:marRight w:val="0"/>
      <w:marTop w:val="0"/>
      <w:marBottom w:val="0"/>
      <w:divBdr>
        <w:top w:val="none" w:sz="0" w:space="0" w:color="auto"/>
        <w:left w:val="none" w:sz="0" w:space="0" w:color="auto"/>
        <w:bottom w:val="none" w:sz="0" w:space="0" w:color="auto"/>
        <w:right w:val="none" w:sz="0" w:space="0" w:color="auto"/>
      </w:divBdr>
    </w:div>
    <w:div w:id="1597399388">
      <w:marLeft w:val="0"/>
      <w:marRight w:val="0"/>
      <w:marTop w:val="0"/>
      <w:marBottom w:val="0"/>
      <w:divBdr>
        <w:top w:val="none" w:sz="0" w:space="0" w:color="auto"/>
        <w:left w:val="none" w:sz="0" w:space="0" w:color="auto"/>
        <w:bottom w:val="none" w:sz="0" w:space="0" w:color="auto"/>
        <w:right w:val="none" w:sz="0" w:space="0" w:color="auto"/>
      </w:divBdr>
    </w:div>
    <w:div w:id="1597399389">
      <w:marLeft w:val="0"/>
      <w:marRight w:val="0"/>
      <w:marTop w:val="0"/>
      <w:marBottom w:val="0"/>
      <w:divBdr>
        <w:top w:val="none" w:sz="0" w:space="0" w:color="auto"/>
        <w:left w:val="none" w:sz="0" w:space="0" w:color="auto"/>
        <w:bottom w:val="none" w:sz="0" w:space="0" w:color="auto"/>
        <w:right w:val="none" w:sz="0" w:space="0" w:color="auto"/>
      </w:divBdr>
    </w:div>
    <w:div w:id="1597399390">
      <w:marLeft w:val="0"/>
      <w:marRight w:val="0"/>
      <w:marTop w:val="0"/>
      <w:marBottom w:val="0"/>
      <w:divBdr>
        <w:top w:val="none" w:sz="0" w:space="0" w:color="auto"/>
        <w:left w:val="none" w:sz="0" w:space="0" w:color="auto"/>
        <w:bottom w:val="none" w:sz="0" w:space="0" w:color="auto"/>
        <w:right w:val="none" w:sz="0" w:space="0" w:color="auto"/>
      </w:divBdr>
    </w:div>
    <w:div w:id="1597399391">
      <w:marLeft w:val="0"/>
      <w:marRight w:val="0"/>
      <w:marTop w:val="0"/>
      <w:marBottom w:val="0"/>
      <w:divBdr>
        <w:top w:val="none" w:sz="0" w:space="0" w:color="auto"/>
        <w:left w:val="none" w:sz="0" w:space="0" w:color="auto"/>
        <w:bottom w:val="none" w:sz="0" w:space="0" w:color="auto"/>
        <w:right w:val="none" w:sz="0" w:space="0" w:color="auto"/>
      </w:divBdr>
    </w:div>
    <w:div w:id="1597399392">
      <w:marLeft w:val="0"/>
      <w:marRight w:val="0"/>
      <w:marTop w:val="0"/>
      <w:marBottom w:val="0"/>
      <w:divBdr>
        <w:top w:val="none" w:sz="0" w:space="0" w:color="auto"/>
        <w:left w:val="none" w:sz="0" w:space="0" w:color="auto"/>
        <w:bottom w:val="none" w:sz="0" w:space="0" w:color="auto"/>
        <w:right w:val="none" w:sz="0" w:space="0" w:color="auto"/>
      </w:divBdr>
    </w:div>
    <w:div w:id="1597399393">
      <w:marLeft w:val="0"/>
      <w:marRight w:val="0"/>
      <w:marTop w:val="0"/>
      <w:marBottom w:val="0"/>
      <w:divBdr>
        <w:top w:val="none" w:sz="0" w:space="0" w:color="auto"/>
        <w:left w:val="none" w:sz="0" w:space="0" w:color="auto"/>
        <w:bottom w:val="none" w:sz="0" w:space="0" w:color="auto"/>
        <w:right w:val="none" w:sz="0" w:space="0" w:color="auto"/>
      </w:divBdr>
    </w:div>
    <w:div w:id="1597399394">
      <w:marLeft w:val="0"/>
      <w:marRight w:val="0"/>
      <w:marTop w:val="0"/>
      <w:marBottom w:val="0"/>
      <w:divBdr>
        <w:top w:val="none" w:sz="0" w:space="0" w:color="auto"/>
        <w:left w:val="none" w:sz="0" w:space="0" w:color="auto"/>
        <w:bottom w:val="none" w:sz="0" w:space="0" w:color="auto"/>
        <w:right w:val="none" w:sz="0" w:space="0" w:color="auto"/>
      </w:divBdr>
    </w:div>
    <w:div w:id="1597399395">
      <w:marLeft w:val="0"/>
      <w:marRight w:val="0"/>
      <w:marTop w:val="0"/>
      <w:marBottom w:val="0"/>
      <w:divBdr>
        <w:top w:val="none" w:sz="0" w:space="0" w:color="auto"/>
        <w:left w:val="none" w:sz="0" w:space="0" w:color="auto"/>
        <w:bottom w:val="none" w:sz="0" w:space="0" w:color="auto"/>
        <w:right w:val="none" w:sz="0" w:space="0" w:color="auto"/>
      </w:divBdr>
    </w:div>
    <w:div w:id="1597399397">
      <w:marLeft w:val="0"/>
      <w:marRight w:val="0"/>
      <w:marTop w:val="0"/>
      <w:marBottom w:val="0"/>
      <w:divBdr>
        <w:top w:val="none" w:sz="0" w:space="0" w:color="auto"/>
        <w:left w:val="none" w:sz="0" w:space="0" w:color="auto"/>
        <w:bottom w:val="none" w:sz="0" w:space="0" w:color="auto"/>
        <w:right w:val="none" w:sz="0" w:space="0" w:color="auto"/>
      </w:divBdr>
    </w:div>
    <w:div w:id="1597399398">
      <w:marLeft w:val="0"/>
      <w:marRight w:val="0"/>
      <w:marTop w:val="0"/>
      <w:marBottom w:val="0"/>
      <w:divBdr>
        <w:top w:val="none" w:sz="0" w:space="0" w:color="auto"/>
        <w:left w:val="none" w:sz="0" w:space="0" w:color="auto"/>
        <w:bottom w:val="none" w:sz="0" w:space="0" w:color="auto"/>
        <w:right w:val="none" w:sz="0" w:space="0" w:color="auto"/>
      </w:divBdr>
    </w:div>
    <w:div w:id="1597399399">
      <w:marLeft w:val="0"/>
      <w:marRight w:val="0"/>
      <w:marTop w:val="0"/>
      <w:marBottom w:val="0"/>
      <w:divBdr>
        <w:top w:val="none" w:sz="0" w:space="0" w:color="auto"/>
        <w:left w:val="none" w:sz="0" w:space="0" w:color="auto"/>
        <w:bottom w:val="none" w:sz="0" w:space="0" w:color="auto"/>
        <w:right w:val="none" w:sz="0" w:space="0" w:color="auto"/>
      </w:divBdr>
      <w:divsChild>
        <w:div w:id="1597399319">
          <w:marLeft w:val="0"/>
          <w:marRight w:val="0"/>
          <w:marTop w:val="0"/>
          <w:marBottom w:val="0"/>
          <w:divBdr>
            <w:top w:val="none" w:sz="0" w:space="0" w:color="auto"/>
            <w:left w:val="none" w:sz="0" w:space="0" w:color="auto"/>
            <w:bottom w:val="none" w:sz="0" w:space="0" w:color="auto"/>
            <w:right w:val="none" w:sz="0" w:space="0" w:color="auto"/>
          </w:divBdr>
          <w:divsChild>
            <w:div w:id="1597399407">
              <w:marLeft w:val="60"/>
              <w:marRight w:val="60"/>
              <w:marTop w:val="0"/>
              <w:marBottom w:val="0"/>
              <w:divBdr>
                <w:top w:val="none" w:sz="0" w:space="0" w:color="auto"/>
                <w:left w:val="none" w:sz="0" w:space="0" w:color="auto"/>
                <w:bottom w:val="none" w:sz="0" w:space="0" w:color="auto"/>
                <w:right w:val="none" w:sz="0" w:space="0" w:color="auto"/>
              </w:divBdr>
              <w:divsChild>
                <w:div w:id="15973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99400">
      <w:marLeft w:val="0"/>
      <w:marRight w:val="0"/>
      <w:marTop w:val="0"/>
      <w:marBottom w:val="0"/>
      <w:divBdr>
        <w:top w:val="none" w:sz="0" w:space="0" w:color="auto"/>
        <w:left w:val="none" w:sz="0" w:space="0" w:color="auto"/>
        <w:bottom w:val="none" w:sz="0" w:space="0" w:color="auto"/>
        <w:right w:val="none" w:sz="0" w:space="0" w:color="auto"/>
      </w:divBdr>
    </w:div>
    <w:div w:id="1597399402">
      <w:marLeft w:val="0"/>
      <w:marRight w:val="0"/>
      <w:marTop w:val="0"/>
      <w:marBottom w:val="0"/>
      <w:divBdr>
        <w:top w:val="none" w:sz="0" w:space="0" w:color="auto"/>
        <w:left w:val="none" w:sz="0" w:space="0" w:color="auto"/>
        <w:bottom w:val="none" w:sz="0" w:space="0" w:color="auto"/>
        <w:right w:val="none" w:sz="0" w:space="0" w:color="auto"/>
      </w:divBdr>
    </w:div>
    <w:div w:id="1597399403">
      <w:marLeft w:val="0"/>
      <w:marRight w:val="0"/>
      <w:marTop w:val="0"/>
      <w:marBottom w:val="0"/>
      <w:divBdr>
        <w:top w:val="none" w:sz="0" w:space="0" w:color="auto"/>
        <w:left w:val="none" w:sz="0" w:space="0" w:color="auto"/>
        <w:bottom w:val="none" w:sz="0" w:space="0" w:color="auto"/>
        <w:right w:val="none" w:sz="0" w:space="0" w:color="auto"/>
      </w:divBdr>
    </w:div>
    <w:div w:id="1597399404">
      <w:marLeft w:val="0"/>
      <w:marRight w:val="0"/>
      <w:marTop w:val="0"/>
      <w:marBottom w:val="0"/>
      <w:divBdr>
        <w:top w:val="none" w:sz="0" w:space="0" w:color="auto"/>
        <w:left w:val="none" w:sz="0" w:space="0" w:color="auto"/>
        <w:bottom w:val="none" w:sz="0" w:space="0" w:color="auto"/>
        <w:right w:val="none" w:sz="0" w:space="0" w:color="auto"/>
      </w:divBdr>
    </w:div>
    <w:div w:id="1597399405">
      <w:marLeft w:val="0"/>
      <w:marRight w:val="0"/>
      <w:marTop w:val="0"/>
      <w:marBottom w:val="0"/>
      <w:divBdr>
        <w:top w:val="none" w:sz="0" w:space="0" w:color="auto"/>
        <w:left w:val="none" w:sz="0" w:space="0" w:color="auto"/>
        <w:bottom w:val="none" w:sz="0" w:space="0" w:color="auto"/>
        <w:right w:val="none" w:sz="0" w:space="0" w:color="auto"/>
      </w:divBdr>
    </w:div>
    <w:div w:id="1597399406">
      <w:marLeft w:val="0"/>
      <w:marRight w:val="0"/>
      <w:marTop w:val="0"/>
      <w:marBottom w:val="0"/>
      <w:divBdr>
        <w:top w:val="none" w:sz="0" w:space="0" w:color="auto"/>
        <w:left w:val="none" w:sz="0" w:space="0" w:color="auto"/>
        <w:bottom w:val="none" w:sz="0" w:space="0" w:color="auto"/>
        <w:right w:val="none" w:sz="0" w:space="0" w:color="auto"/>
      </w:divBdr>
    </w:div>
    <w:div w:id="1597399408">
      <w:marLeft w:val="0"/>
      <w:marRight w:val="0"/>
      <w:marTop w:val="0"/>
      <w:marBottom w:val="0"/>
      <w:divBdr>
        <w:top w:val="none" w:sz="0" w:space="0" w:color="auto"/>
        <w:left w:val="none" w:sz="0" w:space="0" w:color="auto"/>
        <w:bottom w:val="none" w:sz="0" w:space="0" w:color="auto"/>
        <w:right w:val="none" w:sz="0" w:space="0" w:color="auto"/>
      </w:divBdr>
      <w:divsChild>
        <w:div w:id="1597399396">
          <w:marLeft w:val="0"/>
          <w:marRight w:val="0"/>
          <w:marTop w:val="0"/>
          <w:marBottom w:val="0"/>
          <w:divBdr>
            <w:top w:val="none" w:sz="0" w:space="0" w:color="auto"/>
            <w:left w:val="none" w:sz="0" w:space="0" w:color="auto"/>
            <w:bottom w:val="none" w:sz="0" w:space="0" w:color="auto"/>
            <w:right w:val="none" w:sz="0" w:space="0" w:color="auto"/>
          </w:divBdr>
          <w:divsChild>
            <w:div w:id="1597399401">
              <w:marLeft w:val="60"/>
              <w:marRight w:val="60"/>
              <w:marTop w:val="0"/>
              <w:marBottom w:val="0"/>
              <w:divBdr>
                <w:top w:val="none" w:sz="0" w:space="0" w:color="auto"/>
                <w:left w:val="none" w:sz="0" w:space="0" w:color="auto"/>
                <w:bottom w:val="none" w:sz="0" w:space="0" w:color="auto"/>
                <w:right w:val="none" w:sz="0" w:space="0" w:color="auto"/>
              </w:divBdr>
              <w:divsChild>
                <w:div w:id="15973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994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chart" Target="charts/chart14.xml"/><Relationship Id="rId39" Type="http://schemas.openxmlformats.org/officeDocument/2006/relationships/hyperlink" Target="http://www.health.ny.gov/statistics/brfss/" TargetMode="Externa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footer" Target="footer2.xml"/><Relationship Id="rId47" Type="http://schemas.openxmlformats.org/officeDocument/2006/relationships/chart" Target="charts/chart23.xml"/><Relationship Id="rId50" Type="http://schemas.openxmlformats.org/officeDocument/2006/relationships/image" Target="media/image7.png"/><Relationship Id="rId55" Type="http://schemas.openxmlformats.org/officeDocument/2006/relationships/chart" Target="charts/chart28.xml"/><Relationship Id="rId63" Type="http://schemas.openxmlformats.org/officeDocument/2006/relationships/image" Target="media/image11.emf"/><Relationship Id="rId68" Type="http://schemas.openxmlformats.org/officeDocument/2006/relationships/package" Target="embeddings/Microsoft_Office_PowerPoint_Slide3.sldx"/><Relationship Id="rId76" Type="http://schemas.openxmlformats.org/officeDocument/2006/relationships/package" Target="embeddings/Microsoft_Office_PowerPoint_Slide7.sldx"/><Relationship Id="rId84" Type="http://schemas.openxmlformats.org/officeDocument/2006/relationships/image" Target="media/image20.emf"/><Relationship Id="rId89" Type="http://schemas.openxmlformats.org/officeDocument/2006/relationships/image" Target="media/image25.emf"/><Relationship Id="rId7" Type="http://schemas.openxmlformats.org/officeDocument/2006/relationships/image" Target="media/image1.jpeg"/><Relationship Id="rId71" Type="http://schemas.openxmlformats.org/officeDocument/2006/relationships/image" Target="media/image15.emf"/><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chart" Target="charts/chart17.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www.health.ny.gov/statistics/community/minority/county/" TargetMode="External"/><Relationship Id="rId40" Type="http://schemas.openxmlformats.org/officeDocument/2006/relationships/hyperlink" Target="http://www.health.ny.gov/prevention/prevention_agenda/2013-2017/" TargetMode="External"/><Relationship Id="rId45" Type="http://schemas.openxmlformats.org/officeDocument/2006/relationships/footer" Target="footer4.xml"/><Relationship Id="rId53" Type="http://schemas.openxmlformats.org/officeDocument/2006/relationships/image" Target="media/image8.png"/><Relationship Id="rId58" Type="http://schemas.openxmlformats.org/officeDocument/2006/relationships/chart" Target="charts/chart31.xml"/><Relationship Id="rId66" Type="http://schemas.openxmlformats.org/officeDocument/2006/relationships/package" Target="embeddings/Microsoft_Office_PowerPoint_Slide2.sldx"/><Relationship Id="rId74" Type="http://schemas.openxmlformats.org/officeDocument/2006/relationships/package" Target="embeddings/Microsoft_Office_PowerPoint_Slide6.sldx"/><Relationship Id="rId79" Type="http://schemas.openxmlformats.org/officeDocument/2006/relationships/footer" Target="footer5.xml"/><Relationship Id="rId87" Type="http://schemas.openxmlformats.org/officeDocument/2006/relationships/image" Target="media/image23.emf"/><Relationship Id="rId5" Type="http://schemas.openxmlformats.org/officeDocument/2006/relationships/footnotes" Target="footnotes.xml"/><Relationship Id="rId61" Type="http://schemas.openxmlformats.org/officeDocument/2006/relationships/chart" Target="charts/chart32.xml"/><Relationship Id="rId82" Type="http://schemas.openxmlformats.org/officeDocument/2006/relationships/image" Target="media/image18.emf"/><Relationship Id="rId90" Type="http://schemas.openxmlformats.org/officeDocument/2006/relationships/image" Target="media/image26.emf"/><Relationship Id="rId19" Type="http://schemas.openxmlformats.org/officeDocument/2006/relationships/hyperlink" Target="http://assessment.communitycommons.org/CHNA/" TargetMode="Externa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1.xml"/><Relationship Id="rId43" Type="http://schemas.openxmlformats.org/officeDocument/2006/relationships/header" Target="header2.xml"/><Relationship Id="rId48" Type="http://schemas.openxmlformats.org/officeDocument/2006/relationships/image" Target="media/image6.png"/><Relationship Id="rId56" Type="http://schemas.openxmlformats.org/officeDocument/2006/relationships/chart" Target="charts/chart29.xml"/><Relationship Id="rId64" Type="http://schemas.openxmlformats.org/officeDocument/2006/relationships/package" Target="embeddings/Microsoft_Office_PowerPoint_Slide1.sldx"/><Relationship Id="rId69" Type="http://schemas.openxmlformats.org/officeDocument/2006/relationships/image" Target="media/image14.emf"/><Relationship Id="rId7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chart" Target="charts/chart25.xml"/><Relationship Id="rId72" Type="http://schemas.openxmlformats.org/officeDocument/2006/relationships/package" Target="embeddings/Microsoft_Office_PowerPoint_Slide5.sldx"/><Relationship Id="rId80" Type="http://schemas.openxmlformats.org/officeDocument/2006/relationships/header" Target="header5.xml"/><Relationship Id="rId85" Type="http://schemas.openxmlformats.org/officeDocument/2006/relationships/image" Target="media/image21.em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http://www.health.ny.gov/prevention/prevention_agenda/2013-2017/indicators/2013/indicator_map.htm" TargetMode="External"/><Relationship Id="rId46" Type="http://schemas.openxmlformats.org/officeDocument/2006/relationships/image" Target="media/image5.png"/><Relationship Id="rId59" Type="http://schemas.openxmlformats.org/officeDocument/2006/relationships/image" Target="media/image9.png"/><Relationship Id="rId67" Type="http://schemas.openxmlformats.org/officeDocument/2006/relationships/image" Target="media/image13.emf"/><Relationship Id="rId20" Type="http://schemas.openxmlformats.org/officeDocument/2006/relationships/chart" Target="charts/chart8.xml"/><Relationship Id="rId41" Type="http://schemas.openxmlformats.org/officeDocument/2006/relationships/header" Target="header1.xml"/><Relationship Id="rId54" Type="http://schemas.openxmlformats.org/officeDocument/2006/relationships/chart" Target="charts/chart27.xml"/><Relationship Id="rId62" Type="http://schemas.openxmlformats.org/officeDocument/2006/relationships/chart" Target="charts/chart33.xml"/><Relationship Id="rId70" Type="http://schemas.openxmlformats.org/officeDocument/2006/relationships/package" Target="embeddings/Microsoft_Office_PowerPoint_Slide4.sldx"/><Relationship Id="rId75" Type="http://schemas.openxmlformats.org/officeDocument/2006/relationships/image" Target="media/image17.emf"/><Relationship Id="rId83" Type="http://schemas.openxmlformats.org/officeDocument/2006/relationships/image" Target="media/image19.emf"/><Relationship Id="rId88" Type="http://schemas.openxmlformats.org/officeDocument/2006/relationships/image" Target="media/image24.emf"/><Relationship Id="rId9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www.health.ny.gov/statistics/chac/indicators/" TargetMode="External"/><Relationship Id="rId49" Type="http://schemas.openxmlformats.org/officeDocument/2006/relationships/chart" Target="charts/chart24.xml"/><Relationship Id="rId57" Type="http://schemas.openxmlformats.org/officeDocument/2006/relationships/chart" Target="charts/chart30.xml"/><Relationship Id="rId10" Type="http://schemas.openxmlformats.org/officeDocument/2006/relationships/image" Target="media/image3.jpeg"/><Relationship Id="rId31" Type="http://schemas.openxmlformats.org/officeDocument/2006/relationships/chart" Target="charts/chart19.xml"/><Relationship Id="rId44" Type="http://schemas.openxmlformats.org/officeDocument/2006/relationships/footer" Target="footer3.xml"/><Relationship Id="rId52" Type="http://schemas.openxmlformats.org/officeDocument/2006/relationships/chart" Target="charts/chart26.xml"/><Relationship Id="rId60" Type="http://schemas.openxmlformats.org/officeDocument/2006/relationships/image" Target="media/image10.png"/><Relationship Id="rId65" Type="http://schemas.openxmlformats.org/officeDocument/2006/relationships/image" Target="media/image12.emf"/><Relationship Id="rId73" Type="http://schemas.openxmlformats.org/officeDocument/2006/relationships/image" Target="media/image16.emf"/><Relationship Id="rId78" Type="http://schemas.openxmlformats.org/officeDocument/2006/relationships/header" Target="header4.xml"/><Relationship Id="rId81" Type="http://schemas.openxmlformats.org/officeDocument/2006/relationships/hyperlink" Target="http://44lakes.com/about" TargetMode="External"/><Relationship Id="rId86"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hyperlink" Target="http://www.arh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44lakes.com/abou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nise\Documents\Denise's%20Files\CHA%20project%20ARHN\AHRN%20Demographic%20Data%20with%20chart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enise\Documents\Denise's%20Files\CHA%20project%20ARHN\AHRN%20Demographic%20Data%20with%20chart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denise\Documents\Denise's%20Files\CHA%20project%20ARHN\AHRN%20Demographic%20Data%20with%20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enise\Documents\Denise's%20Files\CHA%20project%20ARHN\AHRN%20Demographic%20Data%20with%20char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enise\Documents\Denise's%20Files\CHA%20project%20ARHN\Copy%20of%20CHA-%20Data%20for%20charts%20%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DK%20report%20tables%20and%20char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nise\AppData\Local\Microsoft\Windows\Temporary%20Internet%20Files\Content.IE5\Q1PVJN1X\Total%20Population%20by%20Age%20Groups,%20Percent.csv"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hsrfile\Workspace\RESEARCH\Current%20Projects\ADK%20Rural%20Health\ADK%20Online%20Survey\results\Analysis%20Tables%20ADK%20surve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enise\Documents\Denise's%20Files\CHA%20project%20ARHN\AHRN%20Demographic%20Data%20with%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nise\Documents\Denise's%20Files\CHA%20project%20ARHN\AHRN%20Demographic%20Data%20with%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nise\Documents\Denise's%20Files\CHA%20project%20ARHN\AHRN%20Demographic%20Data%20with%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nise\Documents\Denise's%20Files\CHA%20project%20ARHN\AHRN%20Demographic%20Data%20with%20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enise\Documents\Denise's%20Files\CHA%20project%20ARHN\AHRN%20Demographic%20Data%20with%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nise\Documents\Denise's%20Files\CHA%20project%20ARHN\AHRN%20Demographic%20Data%20with%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txPr>
              <a:bodyPr/>
              <a:lstStyle/>
              <a:p>
                <a:pPr>
                  <a:defRPr b="1"/>
                </a:pPr>
                <a:endParaRPr lang="en-US"/>
              </a:p>
            </c:txPr>
            <c:showVal val="1"/>
            <c:showLeaderLines val="1"/>
          </c:dLbls>
          <c:cat>
            <c:strRef>
              <c:f>Sheet13!$A$12:$A$15</c:f>
              <c:strCache>
                <c:ptCount val="4"/>
                <c:pt idx="0">
                  <c:v>Nathan Littauer</c:v>
                </c:pt>
                <c:pt idx="1">
                  <c:v>St. Mary's Amsterdam</c:v>
                </c:pt>
                <c:pt idx="2">
                  <c:v>Saratoga</c:v>
                </c:pt>
                <c:pt idx="3">
                  <c:v>Little Falls Hospital</c:v>
                </c:pt>
              </c:strCache>
            </c:strRef>
          </c:cat>
          <c:val>
            <c:numRef>
              <c:f>Sheet13!$B$12:$B$15</c:f>
              <c:numCache>
                <c:formatCode>General</c:formatCode>
                <c:ptCount val="4"/>
                <c:pt idx="0">
                  <c:v>3251</c:v>
                </c:pt>
                <c:pt idx="1">
                  <c:v>1899</c:v>
                </c:pt>
                <c:pt idx="2">
                  <c:v>80</c:v>
                </c:pt>
                <c:pt idx="3">
                  <c:v>39</c:v>
                </c:pt>
              </c:numCache>
            </c:numRef>
          </c:val>
        </c:ser>
      </c:pie3DChart>
    </c:plotArea>
    <c:legend>
      <c:legendPos val="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dLbl>
              <c:idx val="0"/>
              <c:tx>
                <c:rich>
                  <a:bodyPr/>
                  <a:lstStyle/>
                  <a:p>
                    <a:r>
                      <a:rPr lang="en-US"/>
                      <a:t>17.4%</a:t>
                    </a:r>
                  </a:p>
                </c:rich>
              </c:tx>
              <c:showVal val="1"/>
            </c:dLbl>
            <c:dLbl>
              <c:idx val="1"/>
              <c:tx>
                <c:rich>
                  <a:bodyPr/>
                  <a:lstStyle/>
                  <a:p>
                    <a:r>
                      <a:rPr lang="en-US"/>
                      <a:t>33.3%</a:t>
                    </a:r>
                  </a:p>
                </c:rich>
              </c:tx>
              <c:showVal val="1"/>
            </c:dLbl>
            <c:dLbl>
              <c:idx val="2"/>
              <c:tx>
                <c:rich>
                  <a:bodyPr/>
                  <a:lstStyle/>
                  <a:p>
                    <a:r>
                      <a:rPr lang="en-US"/>
                      <a:t>19.2%</a:t>
                    </a:r>
                  </a:p>
                </c:rich>
              </c:tx>
              <c:showVal val="1"/>
            </c:dLbl>
            <c:dLbl>
              <c:idx val="3"/>
              <c:layout>
                <c:manualLayout>
                  <c:x val="0.11047911198600174"/>
                  <c:y val="6.5153834937299558E-3"/>
                </c:manualLayout>
              </c:layout>
              <c:tx>
                <c:rich>
                  <a:bodyPr/>
                  <a:lstStyle/>
                  <a:p>
                    <a:r>
                      <a:rPr lang="en-US"/>
                      <a:t>13.9%</a:t>
                    </a:r>
                  </a:p>
                </c:rich>
              </c:tx>
              <c:showVal val="1"/>
            </c:dLbl>
            <c:dLbl>
              <c:idx val="4"/>
              <c:tx>
                <c:rich>
                  <a:bodyPr/>
                  <a:lstStyle/>
                  <a:p>
                    <a:r>
                      <a:rPr lang="en-US"/>
                      <a:t>16.2%</a:t>
                    </a:r>
                  </a:p>
                </c:rich>
              </c:tx>
              <c:showVal val="1"/>
            </c:dLbl>
            <c:showVal val="1"/>
            <c:showLeaderLines val="1"/>
          </c:dLbls>
          <c:cat>
            <c:strRef>
              <c:f>Sheet14!$A$13:$A$17</c:f>
              <c:strCache>
                <c:ptCount val="5"/>
                <c:pt idx="0">
                  <c:v>&lt;$50,000</c:v>
                </c:pt>
                <c:pt idx="1">
                  <c:v>$50,000-99,999</c:v>
                </c:pt>
                <c:pt idx="2">
                  <c:v>$100,000-149,999</c:v>
                </c:pt>
                <c:pt idx="3">
                  <c:v>$150,000-199,999</c:v>
                </c:pt>
                <c:pt idx="4">
                  <c:v>&gt;$200,000</c:v>
                </c:pt>
              </c:strCache>
            </c:strRef>
          </c:cat>
          <c:val>
            <c:numRef>
              <c:f>Sheet14!$B$13:$B$17</c:f>
              <c:numCache>
                <c:formatCode>0.00%</c:formatCode>
                <c:ptCount val="5"/>
                <c:pt idx="0">
                  <c:v>0.17400000000000002</c:v>
                </c:pt>
                <c:pt idx="1">
                  <c:v>0.33300000000000007</c:v>
                </c:pt>
                <c:pt idx="2">
                  <c:v>0.192</c:v>
                </c:pt>
                <c:pt idx="3">
                  <c:v>0.13900000000000001</c:v>
                </c:pt>
                <c:pt idx="4">
                  <c:v>0.16200000000000001</c:v>
                </c:pt>
              </c:numCache>
            </c:numRef>
          </c:val>
        </c:ser>
      </c:pie3DChart>
    </c:plotArea>
    <c:legend>
      <c:legendPos val="r"/>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Fulton</a:t>
            </a:r>
            <a:r>
              <a:rPr lang="en-US" sz="1200" baseline="0"/>
              <a:t> County Health Insurance by Age</a:t>
            </a:r>
            <a:endParaRPr lang="en-US" sz="1200"/>
          </a:p>
        </c:rich>
      </c:tx>
    </c:title>
    <c:view3D>
      <c:rAngAx val="1"/>
    </c:view3D>
    <c:plotArea>
      <c:layout/>
      <c:bar3DChart>
        <c:barDir val="col"/>
        <c:grouping val="clustered"/>
        <c:ser>
          <c:idx val="0"/>
          <c:order val="0"/>
          <c:tx>
            <c:strRef>
              <c:f>Sheet15!$A$15</c:f>
              <c:strCache>
                <c:ptCount val="1"/>
                <c:pt idx="0">
                  <c:v>Percent Insured Adults</c:v>
                </c:pt>
              </c:strCache>
            </c:strRef>
          </c:tx>
          <c:dLbls>
            <c:showVal val="1"/>
          </c:dLbls>
          <c:cat>
            <c:strRef>
              <c:f>Sheet15!$B$12:$F$14</c:f>
              <c:strCache>
                <c:ptCount val="5"/>
                <c:pt idx="0">
                  <c:v>2006</c:v>
                </c:pt>
                <c:pt idx="1">
                  <c:v>2007</c:v>
                </c:pt>
                <c:pt idx="2">
                  <c:v>2008</c:v>
                </c:pt>
                <c:pt idx="3">
                  <c:v>2009</c:v>
                </c:pt>
                <c:pt idx="4">
                  <c:v>2010</c:v>
                </c:pt>
              </c:strCache>
            </c:strRef>
          </c:cat>
          <c:val>
            <c:numRef>
              <c:f>Sheet15!$B$15:$F$15</c:f>
              <c:numCache>
                <c:formatCode>0.0</c:formatCode>
                <c:ptCount val="5"/>
                <c:pt idx="0">
                  <c:v>82.6</c:v>
                </c:pt>
                <c:pt idx="1">
                  <c:v>83.2</c:v>
                </c:pt>
                <c:pt idx="2">
                  <c:v>86</c:v>
                </c:pt>
                <c:pt idx="3">
                  <c:v>80.099999999999994</c:v>
                </c:pt>
                <c:pt idx="4">
                  <c:v>84.4</c:v>
                </c:pt>
              </c:numCache>
            </c:numRef>
          </c:val>
        </c:ser>
        <c:ser>
          <c:idx val="1"/>
          <c:order val="1"/>
          <c:tx>
            <c:strRef>
              <c:f>Sheet15!$A$16</c:f>
              <c:strCache>
                <c:ptCount val="1"/>
                <c:pt idx="0">
                  <c:v>Percent Insured Children (less than 19)</c:v>
                </c:pt>
              </c:strCache>
            </c:strRef>
          </c:tx>
          <c:dLbls>
            <c:showVal val="1"/>
          </c:dLbls>
          <c:cat>
            <c:strRef>
              <c:f>Sheet15!$B$12:$F$14</c:f>
              <c:strCache>
                <c:ptCount val="5"/>
                <c:pt idx="0">
                  <c:v>2006</c:v>
                </c:pt>
                <c:pt idx="1">
                  <c:v>2007</c:v>
                </c:pt>
                <c:pt idx="2">
                  <c:v>2008</c:v>
                </c:pt>
                <c:pt idx="3">
                  <c:v>2009</c:v>
                </c:pt>
                <c:pt idx="4">
                  <c:v>2010</c:v>
                </c:pt>
              </c:strCache>
            </c:strRef>
          </c:cat>
          <c:val>
            <c:numRef>
              <c:f>Sheet15!$B$16:$F$16</c:f>
              <c:numCache>
                <c:formatCode>0.0</c:formatCode>
                <c:ptCount val="5"/>
                <c:pt idx="0">
                  <c:v>92.5</c:v>
                </c:pt>
                <c:pt idx="1">
                  <c:v>92.5</c:v>
                </c:pt>
                <c:pt idx="2">
                  <c:v>93.9</c:v>
                </c:pt>
                <c:pt idx="3">
                  <c:v>95</c:v>
                </c:pt>
                <c:pt idx="4">
                  <c:v>94.5</c:v>
                </c:pt>
              </c:numCache>
            </c:numRef>
          </c:val>
        </c:ser>
        <c:shape val="box"/>
        <c:axId val="203761152"/>
        <c:axId val="203762688"/>
        <c:axId val="0"/>
      </c:bar3DChart>
      <c:catAx>
        <c:axId val="203761152"/>
        <c:scaling>
          <c:orientation val="minMax"/>
        </c:scaling>
        <c:axPos val="b"/>
        <c:majorTickMark val="none"/>
        <c:tickLblPos val="nextTo"/>
        <c:crossAx val="203762688"/>
        <c:crosses val="autoZero"/>
        <c:auto val="1"/>
        <c:lblAlgn val="ctr"/>
        <c:lblOffset val="100"/>
      </c:catAx>
      <c:valAx>
        <c:axId val="203762688"/>
        <c:scaling>
          <c:orientation val="minMax"/>
        </c:scaling>
        <c:axPos val="l"/>
        <c:majorGridlines/>
        <c:numFmt formatCode="0.0" sourceLinked="1"/>
        <c:majorTickMark val="none"/>
        <c:tickLblPos val="nextTo"/>
        <c:crossAx val="203761152"/>
        <c:crosses val="autoZero"/>
        <c:crossBetween val="between"/>
      </c:valAx>
    </c:plotArea>
    <c:legend>
      <c:legendPos val="r"/>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10 - 21'!$A$35:$A$38</c:f>
              <c:strCache>
                <c:ptCount val="4"/>
                <c:pt idx="0">
                  <c:v>Asthma ED Visits</c:v>
                </c:pt>
                <c:pt idx="1">
                  <c:v>Asthma Hospitalizations</c:v>
                </c:pt>
                <c:pt idx="2">
                  <c:v>Asthma Hospitalizations for Children under 18</c:v>
                </c:pt>
                <c:pt idx="3">
                  <c:v>Asthma Hospitalizations for Adults 18+</c:v>
                </c:pt>
              </c:strCache>
            </c:strRef>
          </c:cat>
          <c:val>
            <c:numRef>
              <c:f>'Figs 10 - 21'!$E$35:$E$38</c:f>
              <c:numCache>
                <c:formatCode>0.0%</c:formatCode>
                <c:ptCount val="4"/>
                <c:pt idx="0">
                  <c:v>-2.135477374421358E-2</c:v>
                </c:pt>
                <c:pt idx="1">
                  <c:v>3.9011768242041889E-2</c:v>
                </c:pt>
                <c:pt idx="2">
                  <c:v>6.255929625810365E-2</c:v>
                </c:pt>
                <c:pt idx="3">
                  <c:v>2.8016625263512784E-2</c:v>
                </c:pt>
              </c:numCache>
            </c:numRef>
          </c:val>
        </c:ser>
        <c:axId val="113975680"/>
        <c:axId val="113977216"/>
      </c:barChart>
      <c:catAx>
        <c:axId val="113975680"/>
        <c:scaling>
          <c:orientation val="maxMin"/>
        </c:scaling>
        <c:axPos val="l"/>
        <c:tickLblPos val="low"/>
        <c:txPr>
          <a:bodyPr/>
          <a:lstStyle/>
          <a:p>
            <a:pPr>
              <a:defRPr sz="800"/>
            </a:pPr>
            <a:endParaRPr lang="en-US"/>
          </a:p>
        </c:txPr>
        <c:crossAx val="113977216"/>
        <c:crosses val="autoZero"/>
        <c:auto val="1"/>
        <c:lblAlgn val="ctr"/>
        <c:lblOffset val="100"/>
      </c:catAx>
      <c:valAx>
        <c:axId val="113977216"/>
        <c:scaling>
          <c:orientation val="minMax"/>
        </c:scaling>
        <c:axPos val="t"/>
        <c:majorGridlines/>
        <c:numFmt formatCode="0.0%" sourceLinked="1"/>
        <c:tickLblPos val="nextTo"/>
        <c:txPr>
          <a:bodyPr/>
          <a:lstStyle/>
          <a:p>
            <a:pPr>
              <a:defRPr sz="800"/>
            </a:pPr>
            <a:endParaRPr lang="en-US"/>
          </a:p>
        </c:txPr>
        <c:crossAx val="113975680"/>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32693044619422601"/>
          <c:y val="8.4126929067787334E-2"/>
          <c:w val="0.62202193475815593"/>
          <c:h val="0.84874489807716813"/>
        </c:manualLayout>
      </c:layout>
      <c:barChart>
        <c:barDir val="bar"/>
        <c:grouping val="clustered"/>
        <c:ser>
          <c:idx val="0"/>
          <c:order val="0"/>
          <c:dLbls>
            <c:txPr>
              <a:bodyPr/>
              <a:lstStyle/>
              <a:p>
                <a:pPr>
                  <a:defRPr sz="800"/>
                </a:pPr>
                <a:endParaRPr lang="en-US"/>
              </a:p>
            </c:txPr>
            <c:showVal val="1"/>
          </c:dLbls>
          <c:cat>
            <c:strRef>
              <c:f>'Figs 10 - 21'!$A$61:$A$66</c:f>
              <c:strCache>
                <c:ptCount val="6"/>
                <c:pt idx="0">
                  <c:v>All Cancer Cases</c:v>
                </c:pt>
                <c:pt idx="1">
                  <c:v>All Cancer Deaths</c:v>
                </c:pt>
                <c:pt idx="2">
                  <c:v>Female Breast Cancer Cases</c:v>
                </c:pt>
                <c:pt idx="3">
                  <c:v>Colon/Rectum Cancer Cases</c:v>
                </c:pt>
                <c:pt idx="4">
                  <c:v>Colon/Rectum Cancer Deaths</c:v>
                </c:pt>
                <c:pt idx="5">
                  <c:v>Prostate Cancer Cases</c:v>
                </c:pt>
              </c:strCache>
            </c:strRef>
          </c:cat>
          <c:val>
            <c:numRef>
              <c:f>'Figs 10 - 21'!$E$61:$E$66</c:f>
              <c:numCache>
                <c:formatCode>0.0%</c:formatCode>
                <c:ptCount val="6"/>
                <c:pt idx="0">
                  <c:v>-1.0101269074741513E-2</c:v>
                </c:pt>
                <c:pt idx="1">
                  <c:v>6.6347398455844919E-2</c:v>
                </c:pt>
                <c:pt idx="2">
                  <c:v>0.11269728052837369</c:v>
                </c:pt>
                <c:pt idx="3">
                  <c:v>-4.3499285404722483E-2</c:v>
                </c:pt>
                <c:pt idx="4">
                  <c:v>6.0660171779821193E-2</c:v>
                </c:pt>
                <c:pt idx="5">
                  <c:v>-6.8524257522757925E-2</c:v>
                </c:pt>
              </c:numCache>
            </c:numRef>
          </c:val>
        </c:ser>
        <c:axId val="171363712"/>
        <c:axId val="171508864"/>
      </c:barChart>
      <c:catAx>
        <c:axId val="171363712"/>
        <c:scaling>
          <c:orientation val="maxMin"/>
        </c:scaling>
        <c:axPos val="l"/>
        <c:tickLblPos val="low"/>
        <c:txPr>
          <a:bodyPr/>
          <a:lstStyle/>
          <a:p>
            <a:pPr>
              <a:defRPr sz="800"/>
            </a:pPr>
            <a:endParaRPr lang="en-US"/>
          </a:p>
        </c:txPr>
        <c:crossAx val="171508864"/>
        <c:crosses val="autoZero"/>
        <c:auto val="1"/>
        <c:lblAlgn val="ctr"/>
        <c:lblOffset val="100"/>
      </c:catAx>
      <c:valAx>
        <c:axId val="171508864"/>
        <c:scaling>
          <c:orientation val="minMax"/>
        </c:scaling>
        <c:axPos val="t"/>
        <c:majorGridlines/>
        <c:numFmt formatCode="0.0%" sourceLinked="1"/>
        <c:tickLblPos val="nextTo"/>
        <c:txPr>
          <a:bodyPr/>
          <a:lstStyle/>
          <a:p>
            <a:pPr>
              <a:defRPr sz="800"/>
            </a:pPr>
            <a:endParaRPr lang="en-US"/>
          </a:p>
        </c:txPr>
        <c:crossAx val="171363712"/>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10 - 21'!$A$90:$A$93</c:f>
              <c:strCache>
                <c:ptCount val="4"/>
                <c:pt idx="0">
                  <c:v>Pneumonia Hospitalizations</c:v>
                </c:pt>
                <c:pt idx="1">
                  <c:v>Unintentional Injuries Ages &lt; 10</c:v>
                </c:pt>
                <c:pt idx="2">
                  <c:v>Children Less Than 6 with High Lead Levels</c:v>
                </c:pt>
                <c:pt idx="3">
                  <c:v>Breastfed Infants</c:v>
                </c:pt>
              </c:strCache>
            </c:strRef>
          </c:cat>
          <c:val>
            <c:numRef>
              <c:f>'Figs 10 - 21'!$E$90:$E$93</c:f>
              <c:numCache>
                <c:formatCode>0.0%</c:formatCode>
                <c:ptCount val="4"/>
                <c:pt idx="0">
                  <c:v>0.28173988892331131</c:v>
                </c:pt>
                <c:pt idx="1">
                  <c:v>0.16496474502143516</c:v>
                </c:pt>
                <c:pt idx="2">
                  <c:v>-0.18990741269901748</c:v>
                </c:pt>
                <c:pt idx="3">
                  <c:v>7.6876903618152026E-2</c:v>
                </c:pt>
              </c:numCache>
            </c:numRef>
          </c:val>
        </c:ser>
        <c:axId val="171096704"/>
        <c:axId val="171102592"/>
      </c:barChart>
      <c:catAx>
        <c:axId val="171096704"/>
        <c:scaling>
          <c:orientation val="maxMin"/>
        </c:scaling>
        <c:axPos val="l"/>
        <c:tickLblPos val="low"/>
        <c:txPr>
          <a:bodyPr/>
          <a:lstStyle/>
          <a:p>
            <a:pPr>
              <a:defRPr sz="800"/>
            </a:pPr>
            <a:endParaRPr lang="en-US"/>
          </a:p>
        </c:txPr>
        <c:crossAx val="171102592"/>
        <c:crosses val="autoZero"/>
        <c:auto val="1"/>
        <c:lblAlgn val="ctr"/>
        <c:lblOffset val="100"/>
      </c:catAx>
      <c:valAx>
        <c:axId val="171102592"/>
        <c:scaling>
          <c:orientation val="minMax"/>
        </c:scaling>
        <c:axPos val="t"/>
        <c:majorGridlines/>
        <c:numFmt formatCode="0.0%" sourceLinked="1"/>
        <c:tickLblPos val="nextTo"/>
        <c:txPr>
          <a:bodyPr/>
          <a:lstStyle/>
          <a:p>
            <a:pPr>
              <a:defRPr sz="800"/>
            </a:pPr>
            <a:endParaRPr lang="en-US"/>
          </a:p>
        </c:txPr>
        <c:crossAx val="171096704"/>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10 - 21'!$A$116:$A$118</c:f>
              <c:strCache>
                <c:ptCount val="3"/>
                <c:pt idx="0">
                  <c:v>Diabetes Deaths</c:v>
                </c:pt>
                <c:pt idx="1">
                  <c:v>Diabetes Hospitalizations (Primary Dx)</c:v>
                </c:pt>
                <c:pt idx="2">
                  <c:v>Diabetes Hospitalizations (Any Dx)</c:v>
                </c:pt>
              </c:strCache>
            </c:strRef>
          </c:cat>
          <c:val>
            <c:numRef>
              <c:f>'Figs 10 - 21'!$E$116:$E$118</c:f>
              <c:numCache>
                <c:formatCode>0.0%</c:formatCode>
                <c:ptCount val="3"/>
                <c:pt idx="0">
                  <c:v>-7.4179900227448595E-2</c:v>
                </c:pt>
                <c:pt idx="1">
                  <c:v>0.18321595661992324</c:v>
                </c:pt>
                <c:pt idx="2">
                  <c:v>9.0029767307765463E-2</c:v>
                </c:pt>
              </c:numCache>
            </c:numRef>
          </c:val>
        </c:ser>
        <c:axId val="171083648"/>
        <c:axId val="171085184"/>
      </c:barChart>
      <c:catAx>
        <c:axId val="171083648"/>
        <c:scaling>
          <c:orientation val="maxMin"/>
        </c:scaling>
        <c:axPos val="l"/>
        <c:tickLblPos val="low"/>
        <c:txPr>
          <a:bodyPr/>
          <a:lstStyle/>
          <a:p>
            <a:pPr>
              <a:defRPr sz="800"/>
            </a:pPr>
            <a:endParaRPr lang="en-US"/>
          </a:p>
        </c:txPr>
        <c:crossAx val="171085184"/>
        <c:crosses val="autoZero"/>
        <c:auto val="1"/>
        <c:lblAlgn val="ctr"/>
        <c:lblOffset val="100"/>
      </c:catAx>
      <c:valAx>
        <c:axId val="171085184"/>
        <c:scaling>
          <c:orientation val="minMax"/>
        </c:scaling>
        <c:axPos val="t"/>
        <c:majorGridlines/>
        <c:numFmt formatCode="0.0%" sourceLinked="1"/>
        <c:tickLblPos val="nextTo"/>
        <c:txPr>
          <a:bodyPr/>
          <a:lstStyle/>
          <a:p>
            <a:pPr>
              <a:defRPr sz="800"/>
            </a:pPr>
            <a:endParaRPr lang="en-US"/>
          </a:p>
        </c:txPr>
        <c:crossAx val="171083648"/>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Lbls>
            <c:txPr>
              <a:bodyPr/>
              <a:lstStyle/>
              <a:p>
                <a:pPr>
                  <a:defRPr sz="800"/>
                </a:pPr>
                <a:endParaRPr lang="en-US"/>
              </a:p>
            </c:txPr>
            <c:showVal val="1"/>
          </c:dLbls>
          <c:cat>
            <c:strRef>
              <c:f>'Figs 10 - 21'!$A$142:$A$153</c:f>
              <c:strCache>
                <c:ptCount val="12"/>
                <c:pt idx="0">
                  <c:v>Congestive Heart Failure Deaths</c:v>
                </c:pt>
                <c:pt idx="1">
                  <c:v>Cardiovascular Disease Deaths</c:v>
                </c:pt>
                <c:pt idx="2">
                  <c:v>Diseases of the Heart Deaths</c:v>
                </c:pt>
                <c:pt idx="3">
                  <c:v>Coronary Heart Diseases Deaths</c:v>
                </c:pt>
                <c:pt idx="4">
                  <c:v>Congestive Heart Failure Hospitalizations</c:v>
                </c:pt>
                <c:pt idx="5">
                  <c:v>Cardiovascular Disease Hospitalizations</c:v>
                </c:pt>
                <c:pt idx="6">
                  <c:v>Diseases of the Heart Hospitalizations</c:v>
                </c:pt>
                <c:pt idx="7">
                  <c:v>Coronary Heart Diseases Hospitalizations</c:v>
                </c:pt>
                <c:pt idx="8">
                  <c:v>Cardiovascular Premature Deaths</c:v>
                </c:pt>
                <c:pt idx="9">
                  <c:v>Diseases of the Heart Premature Deaths</c:v>
                </c:pt>
                <c:pt idx="10">
                  <c:v>Coronary Heart Diseases Premature Deaths</c:v>
                </c:pt>
                <c:pt idx="11">
                  <c:v>Stroke Deaths</c:v>
                </c:pt>
              </c:strCache>
            </c:strRef>
          </c:cat>
          <c:val>
            <c:numRef>
              <c:f>'Figs 10 - 21'!$E$142:$E$153</c:f>
              <c:numCache>
                <c:formatCode>0.0%</c:formatCode>
                <c:ptCount val="12"/>
                <c:pt idx="0">
                  <c:v>0.12815214963553243</c:v>
                </c:pt>
                <c:pt idx="1">
                  <c:v>-5.7443891766977166E-2</c:v>
                </c:pt>
                <c:pt idx="2">
                  <c:v>-8.1000769591057856E-2</c:v>
                </c:pt>
                <c:pt idx="3">
                  <c:v>-8.5188854121183377E-2</c:v>
                </c:pt>
                <c:pt idx="4">
                  <c:v>0.11740215259389442</c:v>
                </c:pt>
                <c:pt idx="5">
                  <c:v>-3.0378581611118838E-2</c:v>
                </c:pt>
                <c:pt idx="6">
                  <c:v>9.8146153930465125E-3</c:v>
                </c:pt>
                <c:pt idx="7">
                  <c:v>-4.9876027925813048E-2</c:v>
                </c:pt>
                <c:pt idx="8">
                  <c:v>-0.12168993434632014</c:v>
                </c:pt>
                <c:pt idx="9">
                  <c:v>-0.14903705660323688</c:v>
                </c:pt>
                <c:pt idx="10">
                  <c:v>-0.17427717615522956</c:v>
                </c:pt>
                <c:pt idx="11">
                  <c:v>5.6117709057383239E-2</c:v>
                </c:pt>
              </c:numCache>
            </c:numRef>
          </c:val>
        </c:ser>
        <c:axId val="171053824"/>
        <c:axId val="171055360"/>
      </c:barChart>
      <c:catAx>
        <c:axId val="171053824"/>
        <c:scaling>
          <c:orientation val="maxMin"/>
        </c:scaling>
        <c:axPos val="l"/>
        <c:tickLblPos val="low"/>
        <c:txPr>
          <a:bodyPr/>
          <a:lstStyle/>
          <a:p>
            <a:pPr>
              <a:defRPr sz="800"/>
            </a:pPr>
            <a:endParaRPr lang="en-US"/>
          </a:p>
        </c:txPr>
        <c:crossAx val="171055360"/>
        <c:crosses val="autoZero"/>
        <c:auto val="1"/>
        <c:lblAlgn val="ctr"/>
        <c:lblOffset val="100"/>
      </c:catAx>
      <c:valAx>
        <c:axId val="171055360"/>
        <c:scaling>
          <c:orientation val="minMax"/>
        </c:scaling>
        <c:axPos val="t"/>
        <c:majorGridlines/>
        <c:numFmt formatCode="0.0%" sourceLinked="1"/>
        <c:tickLblPos val="nextTo"/>
        <c:txPr>
          <a:bodyPr/>
          <a:lstStyle/>
          <a:p>
            <a:pPr>
              <a:defRPr sz="800"/>
            </a:pPr>
            <a:endParaRPr lang="en-US"/>
          </a:p>
        </c:txPr>
        <c:crossAx val="171053824"/>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10 - 21'!$A$177:$A$186</c:f>
              <c:strCache>
                <c:ptCount val="10"/>
                <c:pt idx="0">
                  <c:v>Unintended Injury Hospitalizations</c:v>
                </c:pt>
                <c:pt idx="1">
                  <c:v>Unintended Injury Hospitalizations </c:v>
                </c:pt>
                <c:pt idx="2">
                  <c:v>Unintended Injury Hospitalizations Ages 15- 24</c:v>
                </c:pt>
                <c:pt idx="3">
                  <c:v>Work-Related Hospitalizations</c:v>
                </c:pt>
                <c:pt idx="4">
                  <c:v>Injuries from Falls  </c:v>
                </c:pt>
                <c:pt idx="5">
                  <c:v>Elevated Lead Levels over 16 Years</c:v>
                </c:pt>
                <c:pt idx="6">
                  <c:v>Poisoning Hospitalizations</c:v>
                </c:pt>
                <c:pt idx="7">
                  <c:v>Asbestosis Hospitalizations</c:v>
                </c:pt>
                <c:pt idx="8">
                  <c:v>Assault-Related Hospitalizations</c:v>
                </c:pt>
                <c:pt idx="9">
                  <c:v>Motor Vehicle deaths</c:v>
                </c:pt>
              </c:strCache>
            </c:strRef>
          </c:cat>
          <c:val>
            <c:numRef>
              <c:f>'Figs 10 - 21'!$E$177:$E$186</c:f>
              <c:numCache>
                <c:formatCode>0.0%</c:formatCode>
                <c:ptCount val="10"/>
                <c:pt idx="0">
                  <c:v>-2.2742551875736809E-2</c:v>
                </c:pt>
                <c:pt idx="1">
                  <c:v>-7.3272677961977464E-2</c:v>
                </c:pt>
                <c:pt idx="2">
                  <c:v>-9.2514787026969914E-2</c:v>
                </c:pt>
                <c:pt idx="3">
                  <c:v>0.45643816250883834</c:v>
                </c:pt>
                <c:pt idx="4">
                  <c:v>-4.4799100123912423E-2</c:v>
                </c:pt>
                <c:pt idx="5">
                  <c:v>0.15470053837925146</c:v>
                </c:pt>
                <c:pt idx="6">
                  <c:v>9.415862588180017E-2</c:v>
                </c:pt>
                <c:pt idx="7">
                  <c:v>0.47196014438797446</c:v>
                </c:pt>
                <c:pt idx="8">
                  <c:v>9.5445115010332163E-2</c:v>
                </c:pt>
                <c:pt idx="9">
                  <c:v>0.32287565553229541</c:v>
                </c:pt>
              </c:numCache>
            </c:numRef>
          </c:val>
        </c:ser>
        <c:axId val="169521152"/>
        <c:axId val="169522688"/>
      </c:barChart>
      <c:catAx>
        <c:axId val="169521152"/>
        <c:scaling>
          <c:orientation val="maxMin"/>
        </c:scaling>
        <c:axPos val="l"/>
        <c:tickLblPos val="low"/>
        <c:txPr>
          <a:bodyPr/>
          <a:lstStyle/>
          <a:p>
            <a:pPr>
              <a:defRPr sz="800"/>
            </a:pPr>
            <a:endParaRPr lang="en-US"/>
          </a:p>
        </c:txPr>
        <c:crossAx val="169522688"/>
        <c:crosses val="autoZero"/>
        <c:auto val="1"/>
        <c:lblAlgn val="ctr"/>
        <c:lblOffset val="100"/>
      </c:catAx>
      <c:valAx>
        <c:axId val="169522688"/>
        <c:scaling>
          <c:orientation val="minMax"/>
        </c:scaling>
        <c:axPos val="t"/>
        <c:majorGridlines/>
        <c:numFmt formatCode="0.0%" sourceLinked="1"/>
        <c:tickLblPos val="nextTo"/>
        <c:txPr>
          <a:bodyPr/>
          <a:lstStyle/>
          <a:p>
            <a:pPr>
              <a:defRPr sz="800"/>
            </a:pPr>
            <a:endParaRPr lang="en-US"/>
          </a:p>
        </c:txPr>
        <c:crossAx val="169521152"/>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10 - 21'!$A$211:$A$212</c:f>
              <c:strCache>
                <c:ptCount val="2"/>
                <c:pt idx="0">
                  <c:v>Suicides</c:v>
                </c:pt>
                <c:pt idx="1">
                  <c:v>Self-Inflicted Hospitalizations</c:v>
                </c:pt>
              </c:strCache>
            </c:strRef>
          </c:cat>
          <c:val>
            <c:numRef>
              <c:f>'Figs 10 - 21'!$E$211:$E$212</c:f>
              <c:numCache>
                <c:formatCode>0.0%</c:formatCode>
                <c:ptCount val="2"/>
                <c:pt idx="0">
                  <c:v>-0.2022759647825344</c:v>
                </c:pt>
                <c:pt idx="1">
                  <c:v>4.4465935734187008E-2</c:v>
                </c:pt>
              </c:numCache>
            </c:numRef>
          </c:val>
        </c:ser>
        <c:axId val="169401344"/>
        <c:axId val="169407232"/>
      </c:barChart>
      <c:catAx>
        <c:axId val="169401344"/>
        <c:scaling>
          <c:orientation val="maxMin"/>
        </c:scaling>
        <c:axPos val="l"/>
        <c:tickLblPos val="low"/>
        <c:txPr>
          <a:bodyPr/>
          <a:lstStyle/>
          <a:p>
            <a:pPr>
              <a:defRPr sz="800"/>
            </a:pPr>
            <a:endParaRPr lang="en-US"/>
          </a:p>
        </c:txPr>
        <c:crossAx val="169407232"/>
        <c:crosses val="autoZero"/>
        <c:auto val="1"/>
        <c:lblAlgn val="ctr"/>
        <c:lblOffset val="100"/>
      </c:catAx>
      <c:valAx>
        <c:axId val="169407232"/>
        <c:scaling>
          <c:orientation val="minMax"/>
        </c:scaling>
        <c:axPos val="t"/>
        <c:majorGridlines/>
        <c:numFmt formatCode="0.0%" sourceLinked="1"/>
        <c:tickLblPos val="nextTo"/>
        <c:txPr>
          <a:bodyPr/>
          <a:lstStyle/>
          <a:p>
            <a:pPr>
              <a:defRPr sz="800"/>
            </a:pPr>
            <a:endParaRPr lang="en-US"/>
          </a:p>
        </c:txPr>
        <c:crossAx val="169401344"/>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dLbl>
              <c:idx val="1"/>
              <c:layout>
                <c:manualLayout>
                  <c:x val="-8.809523809523824E-2"/>
                  <c:y val="0"/>
                </c:manualLayout>
              </c:layout>
              <c:showVal val="1"/>
            </c:dLbl>
            <c:txPr>
              <a:bodyPr/>
              <a:lstStyle/>
              <a:p>
                <a:pPr>
                  <a:defRPr sz="800"/>
                </a:pPr>
                <a:endParaRPr lang="en-US"/>
              </a:p>
            </c:txPr>
            <c:showVal val="1"/>
          </c:dLbls>
          <c:cat>
            <c:strRef>
              <c:f>'Figs 10 - 21'!$A$237:$A$239</c:f>
              <c:strCache>
                <c:ptCount val="3"/>
                <c:pt idx="0">
                  <c:v>Drug-Related Hospitalizations</c:v>
                </c:pt>
                <c:pt idx="1">
                  <c:v>Newborn Drug-Related Hospitalizations</c:v>
                </c:pt>
                <c:pt idx="2">
                  <c:v>Alcohol-Related Motor Vehicle Injuries  and deaths</c:v>
                </c:pt>
              </c:strCache>
            </c:strRef>
          </c:cat>
          <c:val>
            <c:numRef>
              <c:f>'Figs 10 - 21'!$E$237:$E$239</c:f>
              <c:numCache>
                <c:formatCode>0.0%</c:formatCode>
                <c:ptCount val="3"/>
                <c:pt idx="0">
                  <c:v>4.0832999733066325E-2</c:v>
                </c:pt>
                <c:pt idx="1">
                  <c:v>-0.10557280900008414</c:v>
                </c:pt>
                <c:pt idx="2">
                  <c:v>-7.0018890049445753E-2</c:v>
                </c:pt>
              </c:numCache>
            </c:numRef>
          </c:val>
        </c:ser>
        <c:axId val="123324672"/>
        <c:axId val="169381888"/>
      </c:barChart>
      <c:catAx>
        <c:axId val="123324672"/>
        <c:scaling>
          <c:orientation val="maxMin"/>
        </c:scaling>
        <c:axPos val="l"/>
        <c:tickLblPos val="low"/>
        <c:txPr>
          <a:bodyPr/>
          <a:lstStyle/>
          <a:p>
            <a:pPr>
              <a:defRPr sz="800"/>
            </a:pPr>
            <a:endParaRPr lang="en-US"/>
          </a:p>
        </c:txPr>
        <c:crossAx val="169381888"/>
        <c:crosses val="autoZero"/>
        <c:auto val="1"/>
        <c:lblAlgn val="ctr"/>
        <c:lblOffset val="100"/>
      </c:catAx>
      <c:valAx>
        <c:axId val="169381888"/>
        <c:scaling>
          <c:orientation val="minMax"/>
        </c:scaling>
        <c:axPos val="t"/>
        <c:majorGridlines/>
        <c:numFmt formatCode="0.0%" sourceLinked="1"/>
        <c:tickLblPos val="nextTo"/>
        <c:txPr>
          <a:bodyPr/>
          <a:lstStyle/>
          <a:p>
            <a:pPr>
              <a:defRPr sz="800"/>
            </a:pPr>
            <a:endParaRPr lang="en-US"/>
          </a:p>
        </c:txPr>
        <c:crossAx val="12332467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txPr>
              <a:bodyPr/>
              <a:lstStyle/>
              <a:p>
                <a:pPr>
                  <a:defRPr b="1"/>
                </a:pPr>
                <a:endParaRPr lang="en-US"/>
              </a:p>
            </c:txPr>
            <c:showVal val="1"/>
            <c:showLeaderLines val="1"/>
          </c:dLbls>
          <c:cat>
            <c:strRef>
              <c:f>Sheet13!$A$2:$A$8</c:f>
              <c:strCache>
                <c:ptCount val="7"/>
                <c:pt idx="0">
                  <c:v>Fulton</c:v>
                </c:pt>
                <c:pt idx="1">
                  <c:v>Montgomery</c:v>
                </c:pt>
                <c:pt idx="2">
                  <c:v>Hamilton</c:v>
                </c:pt>
                <c:pt idx="3">
                  <c:v>Saratoga</c:v>
                </c:pt>
                <c:pt idx="4">
                  <c:v>Herkimer</c:v>
                </c:pt>
                <c:pt idx="6">
                  <c:v>Nathan Littauer Discharges by County of Residence - 2011</c:v>
                </c:pt>
              </c:strCache>
            </c:strRef>
          </c:cat>
          <c:val>
            <c:numRef>
              <c:f>Sheet13!$B$2:$B$8</c:f>
              <c:numCache>
                <c:formatCode>General</c:formatCode>
                <c:ptCount val="7"/>
                <c:pt idx="0">
                  <c:v>3251</c:v>
                </c:pt>
                <c:pt idx="1">
                  <c:v>398</c:v>
                </c:pt>
                <c:pt idx="2">
                  <c:v>63</c:v>
                </c:pt>
                <c:pt idx="3">
                  <c:v>31</c:v>
                </c:pt>
                <c:pt idx="4">
                  <c:v>29</c:v>
                </c:pt>
              </c:numCache>
            </c:numRef>
          </c:val>
        </c:ser>
      </c:pie3DChart>
    </c:plotArea>
    <c:legend>
      <c:legendPos val="r"/>
    </c:legend>
    <c:plotVisOnly val="1"/>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10 - 21'!$A$264:$A$267</c:f>
              <c:strCache>
                <c:ptCount val="4"/>
                <c:pt idx="0">
                  <c:v>Chlamydia Cases</c:v>
                </c:pt>
                <c:pt idx="1">
                  <c:v>Chlamydia Cases Ages 15 - 19 Female</c:v>
                </c:pt>
                <c:pt idx="2">
                  <c:v>Chlamydia Cases Ages 20 - 24 Female</c:v>
                </c:pt>
                <c:pt idx="3">
                  <c:v>Gonorrhea Cases</c:v>
                </c:pt>
              </c:strCache>
            </c:strRef>
          </c:cat>
          <c:val>
            <c:numRef>
              <c:f>'Figs 10 - 21'!$E$264:$E$267</c:f>
              <c:numCache>
                <c:formatCode>0.0%</c:formatCode>
                <c:ptCount val="4"/>
                <c:pt idx="0">
                  <c:v>8.2977149423218308E-2</c:v>
                </c:pt>
                <c:pt idx="1">
                  <c:v>-1.1976479940646325E-2</c:v>
                </c:pt>
                <c:pt idx="2">
                  <c:v>0.2403473458920847</c:v>
                </c:pt>
                <c:pt idx="3">
                  <c:v>-0.32917960675006314</c:v>
                </c:pt>
              </c:numCache>
            </c:numRef>
          </c:val>
        </c:ser>
        <c:axId val="123287040"/>
        <c:axId val="123288576"/>
      </c:barChart>
      <c:catAx>
        <c:axId val="123287040"/>
        <c:scaling>
          <c:orientation val="maxMin"/>
        </c:scaling>
        <c:axPos val="l"/>
        <c:tickLblPos val="low"/>
        <c:txPr>
          <a:bodyPr/>
          <a:lstStyle/>
          <a:p>
            <a:pPr>
              <a:defRPr sz="800"/>
            </a:pPr>
            <a:endParaRPr lang="en-US"/>
          </a:p>
        </c:txPr>
        <c:crossAx val="123288576"/>
        <c:crosses val="autoZero"/>
        <c:auto val="1"/>
        <c:lblAlgn val="ctr"/>
        <c:lblOffset val="100"/>
      </c:catAx>
      <c:valAx>
        <c:axId val="123288576"/>
        <c:scaling>
          <c:orientation val="minMax"/>
        </c:scaling>
        <c:axPos val="t"/>
        <c:majorGridlines/>
        <c:numFmt formatCode="0.0%" sourceLinked="1"/>
        <c:tickLblPos val="nextTo"/>
        <c:txPr>
          <a:bodyPr/>
          <a:lstStyle/>
          <a:p>
            <a:pPr>
              <a:defRPr sz="800"/>
            </a:pPr>
            <a:endParaRPr lang="en-US"/>
          </a:p>
        </c:txPr>
        <c:crossAx val="123287040"/>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dLbls>
            <c:txPr>
              <a:bodyPr/>
              <a:lstStyle/>
              <a:p>
                <a:pPr>
                  <a:defRPr sz="800"/>
                </a:pPr>
                <a:endParaRPr lang="en-US"/>
              </a:p>
            </c:txPr>
            <c:showVal val="1"/>
          </c:dLbls>
          <c:cat>
            <c:strRef>
              <c:f>'Figs 10 - 21'!$A$292:$A$294</c:f>
              <c:strCache>
                <c:ptCount val="3"/>
                <c:pt idx="0">
                  <c:v>Pregnancies Age 15 - 17</c:v>
                </c:pt>
                <c:pt idx="1">
                  <c:v>Pregnancies Age 18 - 19</c:v>
                </c:pt>
                <c:pt idx="2">
                  <c:v>Abortions Age 15 - 19</c:v>
                </c:pt>
              </c:strCache>
            </c:strRef>
          </c:cat>
          <c:val>
            <c:numRef>
              <c:f>'Figs 10 - 21'!$E$292:$E$294</c:f>
              <c:numCache>
                <c:formatCode>0.0%</c:formatCode>
                <c:ptCount val="3"/>
                <c:pt idx="0">
                  <c:v>-0.14027304637890492</c:v>
                </c:pt>
                <c:pt idx="1">
                  <c:v>-7.7312972156131782E-2</c:v>
                </c:pt>
                <c:pt idx="2">
                  <c:v>-9.1846781627000426E-2</c:v>
                </c:pt>
              </c:numCache>
            </c:numRef>
          </c:val>
        </c:ser>
        <c:axId val="169370368"/>
        <c:axId val="169371904"/>
      </c:barChart>
      <c:catAx>
        <c:axId val="169370368"/>
        <c:scaling>
          <c:orientation val="maxMin"/>
        </c:scaling>
        <c:axPos val="l"/>
        <c:tickLblPos val="low"/>
        <c:txPr>
          <a:bodyPr/>
          <a:lstStyle/>
          <a:p>
            <a:pPr>
              <a:defRPr sz="800"/>
            </a:pPr>
            <a:endParaRPr lang="en-US"/>
          </a:p>
        </c:txPr>
        <c:crossAx val="169371904"/>
        <c:crosses val="autoZero"/>
        <c:auto val="1"/>
        <c:lblAlgn val="ctr"/>
        <c:lblOffset val="100"/>
      </c:catAx>
      <c:valAx>
        <c:axId val="169371904"/>
        <c:scaling>
          <c:orientation val="minMax"/>
        </c:scaling>
        <c:axPos val="t"/>
        <c:majorGridlines/>
        <c:numFmt formatCode="0.0%" sourceLinked="1"/>
        <c:tickLblPos val="nextTo"/>
        <c:txPr>
          <a:bodyPr/>
          <a:lstStyle/>
          <a:p>
            <a:pPr>
              <a:defRPr sz="800"/>
            </a:pPr>
            <a:endParaRPr lang="en-US"/>
          </a:p>
        </c:txPr>
        <c:crossAx val="169370368"/>
        <c:crosses val="autoZero"/>
        <c:crossBetween val="between"/>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Lbls>
            <c:dLbl>
              <c:idx val="2"/>
              <c:layout>
                <c:manualLayout>
                  <c:x val="-9.6525096525096693E-2"/>
                  <c:y val="0"/>
                </c:manualLayout>
              </c:layout>
              <c:showVal val="1"/>
            </c:dLbl>
            <c:txPr>
              <a:bodyPr/>
              <a:lstStyle/>
              <a:p>
                <a:pPr>
                  <a:defRPr sz="800"/>
                </a:pPr>
                <a:endParaRPr lang="en-US"/>
              </a:p>
            </c:txPr>
            <c:showVal val="1"/>
          </c:dLbls>
          <c:cat>
            <c:strRef>
              <c:f>'Figs 10 - 21'!$A$318:$A$323</c:f>
              <c:strCache>
                <c:ptCount val="6"/>
                <c:pt idx="0">
                  <c:v>Total Births</c:v>
                </c:pt>
                <c:pt idx="1">
                  <c:v>Total Abortions</c:v>
                </c:pt>
                <c:pt idx="2">
                  <c:v>Low Birth Weight Births</c:v>
                </c:pt>
                <c:pt idx="3">
                  <c:v>Pre-Term Births (Less than 37 Weeks)</c:v>
                </c:pt>
                <c:pt idx="4">
                  <c:v>Births Within 24 Months of Previous Pregancy</c:v>
                </c:pt>
                <c:pt idx="5">
                  <c:v>Births to Women 35 Years and Older</c:v>
                </c:pt>
              </c:strCache>
            </c:strRef>
          </c:cat>
          <c:val>
            <c:numRef>
              <c:f>'Figs 10 - 21'!$E$318:$E$323</c:f>
              <c:numCache>
                <c:formatCode>0.0%</c:formatCode>
                <c:ptCount val="6"/>
                <c:pt idx="0">
                  <c:v>-6.2895653108990604E-2</c:v>
                </c:pt>
                <c:pt idx="1">
                  <c:v>3.5906758257155946E-3</c:v>
                </c:pt>
                <c:pt idx="2">
                  <c:v>-0.37982632705395786</c:v>
                </c:pt>
                <c:pt idx="3">
                  <c:v>-0.19935923097456434</c:v>
                </c:pt>
                <c:pt idx="4">
                  <c:v>-0.13567435330807651</c:v>
                </c:pt>
                <c:pt idx="5">
                  <c:v>-8.4189060220749026E-2</c:v>
                </c:pt>
              </c:numCache>
            </c:numRef>
          </c:val>
        </c:ser>
        <c:axId val="169349120"/>
        <c:axId val="169350656"/>
      </c:barChart>
      <c:catAx>
        <c:axId val="169349120"/>
        <c:scaling>
          <c:orientation val="maxMin"/>
        </c:scaling>
        <c:axPos val="l"/>
        <c:tickLblPos val="low"/>
        <c:txPr>
          <a:bodyPr/>
          <a:lstStyle/>
          <a:p>
            <a:pPr>
              <a:defRPr sz="800"/>
            </a:pPr>
            <a:endParaRPr lang="en-US"/>
          </a:p>
        </c:txPr>
        <c:crossAx val="169350656"/>
        <c:crosses val="autoZero"/>
        <c:auto val="1"/>
        <c:lblAlgn val="ctr"/>
        <c:lblOffset val="100"/>
      </c:catAx>
      <c:valAx>
        <c:axId val="169350656"/>
        <c:scaling>
          <c:orientation val="minMax"/>
        </c:scaling>
        <c:axPos val="t"/>
        <c:majorGridlines/>
        <c:numFmt formatCode="0.0%" sourceLinked="1"/>
        <c:tickLblPos val="nextTo"/>
        <c:txPr>
          <a:bodyPr/>
          <a:lstStyle/>
          <a:p>
            <a:pPr>
              <a:defRPr sz="800"/>
            </a:pPr>
            <a:endParaRPr lang="en-US"/>
          </a:p>
        </c:txPr>
        <c:crossAx val="169349120"/>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numFmt formatCode="0.0%" sourceLinked="0"/>
            <c:spPr>
              <a:noFill/>
              <a:ln>
                <a:noFill/>
              </a:ln>
              <a:effectLst/>
            </c:spPr>
            <c:dLblPos val="outEnd"/>
            <c:showVal val="1"/>
            <c:extLst>
              <c:ext xmlns:c15="http://schemas.microsoft.com/office/drawing/2012/chart" uri="{CE6537A1-D6FC-4f65-9D91-7224C49458BB}">
                <c15:showLeaderLines val="0"/>
              </c:ext>
            </c:extLst>
          </c:dLbls>
          <c:cat>
            <c:strRef>
              <c:f>report!$M$61:$M$66</c:f>
              <c:strCache>
                <c:ptCount val="6"/>
                <c:pt idx="0">
                  <c:v>Prevent chronic disease</c:v>
                </c:pt>
                <c:pt idx="1">
                  <c:v>Promote healthy, safe environment</c:v>
                </c:pt>
                <c:pt idx="2">
                  <c:v>Address health of women &amp; children</c:v>
                </c:pt>
                <c:pt idx="3">
                  <c:v>Promote mental health</c:v>
                </c:pt>
                <c:pt idx="4">
                  <c:v>Prevent substance abuse</c:v>
                </c:pt>
                <c:pt idx="5">
                  <c:v>To prevent HIV, STIs, preventable diseases</c:v>
                </c:pt>
              </c:strCache>
            </c:strRef>
          </c:cat>
          <c:val>
            <c:numRef>
              <c:f>report!$N$61:$N$66</c:f>
              <c:numCache>
                <c:formatCode>General</c:formatCode>
                <c:ptCount val="6"/>
                <c:pt idx="0">
                  <c:v>0.66530612244898524</c:v>
                </c:pt>
                <c:pt idx="1">
                  <c:v>0.62608695652173962</c:v>
                </c:pt>
                <c:pt idx="2">
                  <c:v>0.67123287671232879</c:v>
                </c:pt>
                <c:pt idx="3">
                  <c:v>0.56221198156682028</c:v>
                </c:pt>
                <c:pt idx="4">
                  <c:v>0.48401826484018545</c:v>
                </c:pt>
                <c:pt idx="5">
                  <c:v>0.37089201877934597</c:v>
                </c:pt>
              </c:numCache>
            </c:numRef>
          </c:val>
        </c:ser>
        <c:dLbls>
          <c:showVal val="1"/>
        </c:dLbls>
        <c:axId val="168875520"/>
        <c:axId val="168877056"/>
      </c:barChart>
      <c:catAx>
        <c:axId val="168875520"/>
        <c:scaling>
          <c:orientation val="minMax"/>
        </c:scaling>
        <c:axPos val="b"/>
        <c:numFmt formatCode="General" sourceLinked="0"/>
        <c:tickLblPos val="nextTo"/>
        <c:crossAx val="168877056"/>
        <c:crosses val="autoZero"/>
        <c:auto val="1"/>
        <c:lblAlgn val="ctr"/>
        <c:lblOffset val="100"/>
      </c:catAx>
      <c:valAx>
        <c:axId val="168877056"/>
        <c:scaling>
          <c:orientation val="minMax"/>
        </c:scaling>
        <c:axPos val="l"/>
        <c:majorGridlines/>
        <c:numFmt formatCode="0%" sourceLinked="0"/>
        <c:tickLblPos val="nextTo"/>
        <c:crossAx val="168875520"/>
        <c:crosses val="autoZero"/>
        <c:crossBetween val="between"/>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'q16'!$B$12:$B$17</c:f>
              <c:strCache>
                <c:ptCount val="6"/>
                <c:pt idx="0">
                  <c:v>Extremely serious</c:v>
                </c:pt>
                <c:pt idx="1">
                  <c:v>Very serious</c:v>
                </c:pt>
                <c:pt idx="2">
                  <c:v>Moderately serious</c:v>
                </c:pt>
                <c:pt idx="3">
                  <c:v>Minimally serious</c:v>
                </c:pt>
                <c:pt idx="4">
                  <c:v>Not a problem</c:v>
                </c:pt>
                <c:pt idx="5">
                  <c:v>Don't know</c:v>
                </c:pt>
              </c:strCache>
            </c:strRef>
          </c:cat>
          <c:val>
            <c:numRef>
              <c:f>'q16'!$C$12:$C$17</c:f>
              <c:numCache>
                <c:formatCode>0.0%</c:formatCode>
                <c:ptCount val="6"/>
                <c:pt idx="0">
                  <c:v>0.12643678160919541</c:v>
                </c:pt>
                <c:pt idx="1">
                  <c:v>0.47892720306513431</c:v>
                </c:pt>
                <c:pt idx="2">
                  <c:v>0.21455938697318044</c:v>
                </c:pt>
                <c:pt idx="3">
                  <c:v>3.0651340996168612E-2</c:v>
                </c:pt>
                <c:pt idx="4">
                  <c:v>3.8314176245210752E-3</c:v>
                </c:pt>
                <c:pt idx="5">
                  <c:v>0.14559386973180091</c:v>
                </c:pt>
              </c:numCache>
            </c:numRef>
          </c:val>
        </c:ser>
        <c:dLbls>
          <c:showVal val="1"/>
        </c:dLbls>
        <c:axId val="127595264"/>
        <c:axId val="127596800"/>
      </c:barChart>
      <c:catAx>
        <c:axId val="127595264"/>
        <c:scaling>
          <c:orientation val="minMax"/>
        </c:scaling>
        <c:axPos val="b"/>
        <c:numFmt formatCode="General" sourceLinked="0"/>
        <c:tickLblPos val="nextTo"/>
        <c:crossAx val="127596800"/>
        <c:crosses val="autoZero"/>
        <c:auto val="1"/>
        <c:lblAlgn val="ctr"/>
        <c:lblOffset val="100"/>
      </c:catAx>
      <c:valAx>
        <c:axId val="127596800"/>
        <c:scaling>
          <c:orientation val="minMax"/>
        </c:scaling>
        <c:axPos val="l"/>
        <c:majorGridlines/>
        <c:numFmt formatCode="0%" sourceLinked="0"/>
        <c:tickLblPos val="nextTo"/>
        <c:crossAx val="127595264"/>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'q26'!$B$13:$B$18</c:f>
              <c:strCache>
                <c:ptCount val="6"/>
                <c:pt idx="0">
                  <c:v>Excellent</c:v>
                </c:pt>
                <c:pt idx="1">
                  <c:v>Very good</c:v>
                </c:pt>
                <c:pt idx="2">
                  <c:v>Good</c:v>
                </c:pt>
                <c:pt idx="3">
                  <c:v>Fair</c:v>
                </c:pt>
                <c:pt idx="4">
                  <c:v>Poor</c:v>
                </c:pt>
                <c:pt idx="5">
                  <c:v>Don't know</c:v>
                </c:pt>
              </c:strCache>
            </c:strRef>
          </c:cat>
          <c:val>
            <c:numRef>
              <c:f>'q26'!$C$13:$C$18</c:f>
              <c:numCache>
                <c:formatCode>0.0%</c:formatCode>
                <c:ptCount val="6"/>
                <c:pt idx="0">
                  <c:v>4.1493775933609964E-2</c:v>
                </c:pt>
                <c:pt idx="1">
                  <c:v>0.15767634854771928</c:v>
                </c:pt>
                <c:pt idx="2">
                  <c:v>0.39004149377593628</c:v>
                </c:pt>
                <c:pt idx="3">
                  <c:v>0.27800829875518684</c:v>
                </c:pt>
                <c:pt idx="4">
                  <c:v>6.2240663900414939E-2</c:v>
                </c:pt>
                <c:pt idx="5">
                  <c:v>7.0539419087136929E-2</c:v>
                </c:pt>
              </c:numCache>
            </c:numRef>
          </c:val>
        </c:ser>
        <c:dLbls>
          <c:showVal val="1"/>
        </c:dLbls>
        <c:axId val="126886272"/>
        <c:axId val="126887808"/>
      </c:barChart>
      <c:catAx>
        <c:axId val="126886272"/>
        <c:scaling>
          <c:orientation val="minMax"/>
        </c:scaling>
        <c:axPos val="b"/>
        <c:numFmt formatCode="General" sourceLinked="0"/>
        <c:tickLblPos val="nextTo"/>
        <c:crossAx val="126887808"/>
        <c:crosses val="autoZero"/>
        <c:auto val="1"/>
        <c:lblAlgn val="ctr"/>
        <c:lblOffset val="100"/>
      </c:catAx>
      <c:valAx>
        <c:axId val="126887808"/>
        <c:scaling>
          <c:orientation val="minMax"/>
        </c:scaling>
        <c:axPos val="l"/>
        <c:majorGridlines/>
        <c:numFmt formatCode="0%" sourceLinked="0"/>
        <c:tickLblPos val="nextTo"/>
        <c:crossAx val="126886272"/>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'q30-q32'!$B$10:$B$15</c:f>
              <c:strCache>
                <c:ptCount val="6"/>
                <c:pt idx="0">
                  <c:v>Extremely </c:v>
                </c:pt>
                <c:pt idx="1">
                  <c:v>Very</c:v>
                </c:pt>
                <c:pt idx="2">
                  <c:v>Moderately </c:v>
                </c:pt>
                <c:pt idx="3">
                  <c:v>Slightly </c:v>
                </c:pt>
                <c:pt idx="4">
                  <c:v>Not at all </c:v>
                </c:pt>
                <c:pt idx="5">
                  <c:v>Don't know</c:v>
                </c:pt>
              </c:strCache>
            </c:strRef>
          </c:cat>
          <c:val>
            <c:numRef>
              <c:f>'q30-q32'!$C$10:$C$15</c:f>
              <c:numCache>
                <c:formatCode>0.0%</c:formatCode>
                <c:ptCount val="6"/>
                <c:pt idx="0">
                  <c:v>4.3290043290043333E-3</c:v>
                </c:pt>
                <c:pt idx="1">
                  <c:v>9.5238095238095247E-2</c:v>
                </c:pt>
                <c:pt idx="2">
                  <c:v>0.34199134199134201</c:v>
                </c:pt>
                <c:pt idx="3">
                  <c:v>0.21645021645021786</c:v>
                </c:pt>
                <c:pt idx="4">
                  <c:v>2.5974025974026042E-2</c:v>
                </c:pt>
                <c:pt idx="5">
                  <c:v>0.31601731601731631</c:v>
                </c:pt>
              </c:numCache>
            </c:numRef>
          </c:val>
        </c:ser>
        <c:dLbls>
          <c:showVal val="1"/>
        </c:dLbls>
        <c:axId val="168803712"/>
        <c:axId val="168854656"/>
      </c:barChart>
      <c:catAx>
        <c:axId val="168803712"/>
        <c:scaling>
          <c:orientation val="minMax"/>
        </c:scaling>
        <c:axPos val="b"/>
        <c:numFmt formatCode="General" sourceLinked="0"/>
        <c:tickLblPos val="nextTo"/>
        <c:crossAx val="168854656"/>
        <c:crosses val="autoZero"/>
        <c:auto val="1"/>
        <c:lblAlgn val="ctr"/>
        <c:lblOffset val="100"/>
      </c:catAx>
      <c:valAx>
        <c:axId val="168854656"/>
        <c:scaling>
          <c:orientation val="minMax"/>
        </c:scaling>
        <c:axPos val="l"/>
        <c:majorGridlines/>
        <c:numFmt formatCode="0%" sourceLinked="0"/>
        <c:tickLblPos val="nextTo"/>
        <c:crossAx val="168803712"/>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'q40-q42'!$B$13:$B$18</c:f>
              <c:strCache>
                <c:ptCount val="6"/>
                <c:pt idx="0">
                  <c:v>Extremely effective</c:v>
                </c:pt>
                <c:pt idx="1">
                  <c:v>Very effective</c:v>
                </c:pt>
                <c:pt idx="2">
                  <c:v>Moderately effective</c:v>
                </c:pt>
                <c:pt idx="3">
                  <c:v>Slightly effective</c:v>
                </c:pt>
                <c:pt idx="4">
                  <c:v>Not at all effective</c:v>
                </c:pt>
                <c:pt idx="5">
                  <c:v>Don't know</c:v>
                </c:pt>
              </c:strCache>
            </c:strRef>
          </c:cat>
          <c:val>
            <c:numRef>
              <c:f>'q40-q42'!$C$13:$C$18</c:f>
              <c:numCache>
                <c:formatCode>0.0%</c:formatCode>
                <c:ptCount val="6"/>
                <c:pt idx="0">
                  <c:v>4.4247787610619494E-3</c:v>
                </c:pt>
                <c:pt idx="1">
                  <c:v>9.2920353982301043E-2</c:v>
                </c:pt>
                <c:pt idx="2">
                  <c:v>0.41150442477876131</c:v>
                </c:pt>
                <c:pt idx="3">
                  <c:v>0.15044247787610923</c:v>
                </c:pt>
                <c:pt idx="4">
                  <c:v>4.4247787610619494E-3</c:v>
                </c:pt>
                <c:pt idx="5">
                  <c:v>0.33628318584071276</c:v>
                </c:pt>
              </c:numCache>
            </c:numRef>
          </c:val>
        </c:ser>
        <c:dLbls>
          <c:showVal val="1"/>
        </c:dLbls>
        <c:axId val="168770176"/>
        <c:axId val="168792448"/>
      </c:barChart>
      <c:catAx>
        <c:axId val="168770176"/>
        <c:scaling>
          <c:orientation val="minMax"/>
        </c:scaling>
        <c:axPos val="b"/>
        <c:numFmt formatCode="General" sourceLinked="0"/>
        <c:tickLblPos val="nextTo"/>
        <c:crossAx val="168792448"/>
        <c:crosses val="autoZero"/>
        <c:auto val="1"/>
        <c:lblAlgn val="ctr"/>
        <c:lblOffset val="100"/>
      </c:catAx>
      <c:valAx>
        <c:axId val="168792448"/>
        <c:scaling>
          <c:orientation val="minMax"/>
        </c:scaling>
        <c:axPos val="l"/>
        <c:majorGridlines/>
        <c:numFmt formatCode="0%" sourceLinked="0"/>
        <c:tickLblPos val="nextTo"/>
        <c:crossAx val="168770176"/>
        <c:crosses val="autoZero"/>
        <c:crossBetween val="between"/>
      </c:valAx>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numFmt formatCode="0.0%" sourceLinked="0"/>
            <c:spPr>
              <a:noFill/>
              <a:ln>
                <a:noFill/>
              </a:ln>
              <a:effectLst/>
            </c:spPr>
            <c:dLblPos val="outEnd"/>
            <c:showVal val="1"/>
            <c:extLst>
              <c:ext xmlns:c15="http://schemas.microsoft.com/office/drawing/2012/chart" uri="{CE6537A1-D6FC-4f65-9D91-7224C49458BB}">
                <c15:showLeaderLines val="0"/>
              </c:ext>
            </c:extLst>
          </c:dLbls>
          <c:cat>
            <c:strRef>
              <c:f>'q44-q46'!$B$27:$B$32</c:f>
              <c:strCache>
                <c:ptCount val="6"/>
                <c:pt idx="0">
                  <c:v>Extremely</c:v>
                </c:pt>
                <c:pt idx="1">
                  <c:v>Very</c:v>
                </c:pt>
                <c:pt idx="2">
                  <c:v>Moderately</c:v>
                </c:pt>
                <c:pt idx="3">
                  <c:v>Minimally</c:v>
                </c:pt>
                <c:pt idx="4">
                  <c:v>Not a problem</c:v>
                </c:pt>
                <c:pt idx="5">
                  <c:v>Don't know</c:v>
                </c:pt>
              </c:strCache>
            </c:strRef>
          </c:cat>
          <c:val>
            <c:numRef>
              <c:f>'q44-q46'!$C$27:$C$32</c:f>
              <c:numCache>
                <c:formatCode>0.0%</c:formatCode>
                <c:ptCount val="6"/>
                <c:pt idx="0">
                  <c:v>0.10176991150442465</c:v>
                </c:pt>
                <c:pt idx="1">
                  <c:v>0.34513274336283484</c:v>
                </c:pt>
                <c:pt idx="2">
                  <c:v>0.30973451327433632</c:v>
                </c:pt>
                <c:pt idx="3">
                  <c:v>3.9823008849557542E-2</c:v>
                </c:pt>
                <c:pt idx="4" formatCode="General">
                  <c:v>0</c:v>
                </c:pt>
                <c:pt idx="5">
                  <c:v>0.20353982300884957</c:v>
                </c:pt>
              </c:numCache>
            </c:numRef>
          </c:val>
        </c:ser>
        <c:dLbls>
          <c:showVal val="1"/>
        </c:dLbls>
        <c:axId val="168388480"/>
        <c:axId val="168390016"/>
      </c:barChart>
      <c:catAx>
        <c:axId val="168388480"/>
        <c:scaling>
          <c:orientation val="minMax"/>
        </c:scaling>
        <c:axPos val="b"/>
        <c:numFmt formatCode="General" sourceLinked="0"/>
        <c:tickLblPos val="nextTo"/>
        <c:crossAx val="168390016"/>
        <c:crosses val="autoZero"/>
        <c:auto val="1"/>
        <c:lblAlgn val="ctr"/>
        <c:lblOffset val="100"/>
      </c:catAx>
      <c:valAx>
        <c:axId val="168390016"/>
        <c:scaling>
          <c:orientation val="minMax"/>
        </c:scaling>
        <c:axPos val="l"/>
        <c:majorGridlines/>
        <c:numFmt formatCode="0%" sourceLinked="0"/>
        <c:tickLblPos val="nextTo"/>
        <c:crossAx val="168388480"/>
        <c:crosses val="autoZero"/>
        <c:crossBetween val="between"/>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'q54-q55'!$B$22:$B$27</c:f>
              <c:strCache>
                <c:ptCount val="6"/>
                <c:pt idx="0">
                  <c:v>Extremely serious</c:v>
                </c:pt>
                <c:pt idx="1">
                  <c:v>Very serious</c:v>
                </c:pt>
                <c:pt idx="2">
                  <c:v>Moderately serious </c:v>
                </c:pt>
                <c:pt idx="3">
                  <c:v>Minimally serious </c:v>
                </c:pt>
                <c:pt idx="4">
                  <c:v>Not a problem</c:v>
                </c:pt>
                <c:pt idx="5">
                  <c:v>Don't know</c:v>
                </c:pt>
              </c:strCache>
            </c:strRef>
          </c:cat>
          <c:val>
            <c:numRef>
              <c:f>'q54-q55'!$C$22:$C$27</c:f>
              <c:numCache>
                <c:formatCode>0.0%</c:formatCode>
                <c:ptCount val="6"/>
                <c:pt idx="0">
                  <c:v>0.11160714285714286</c:v>
                </c:pt>
                <c:pt idx="1">
                  <c:v>0.47767857142857445</c:v>
                </c:pt>
                <c:pt idx="2">
                  <c:v>0.24553571428571427</c:v>
                </c:pt>
                <c:pt idx="3">
                  <c:v>2.6785714285714655E-2</c:v>
                </c:pt>
                <c:pt idx="4">
                  <c:v>4.464285714285714E-3</c:v>
                </c:pt>
                <c:pt idx="5">
                  <c:v>0.13392857142857137</c:v>
                </c:pt>
              </c:numCache>
            </c:numRef>
          </c:val>
        </c:ser>
        <c:dLbls>
          <c:showVal val="1"/>
        </c:dLbls>
        <c:axId val="168363520"/>
        <c:axId val="168365056"/>
      </c:barChart>
      <c:catAx>
        <c:axId val="168363520"/>
        <c:scaling>
          <c:orientation val="minMax"/>
        </c:scaling>
        <c:axPos val="b"/>
        <c:numFmt formatCode="General" sourceLinked="0"/>
        <c:tickLblPos val="nextTo"/>
        <c:crossAx val="168365056"/>
        <c:crosses val="autoZero"/>
        <c:auto val="1"/>
        <c:lblAlgn val="ctr"/>
        <c:lblOffset val="100"/>
      </c:catAx>
      <c:valAx>
        <c:axId val="168365056"/>
        <c:scaling>
          <c:orientation val="minMax"/>
        </c:scaling>
        <c:axPos val="l"/>
        <c:majorGridlines/>
        <c:numFmt formatCode="0%" sourceLinked="0"/>
        <c:tickLblPos val="nextTo"/>
        <c:crossAx val="168363520"/>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Fulton County Population by Age</a:t>
            </a:r>
            <a:r>
              <a:rPr lang="en-US" baseline="0"/>
              <a:t> </a:t>
            </a:r>
            <a:endParaRPr lang="en-US"/>
          </a:p>
        </c:rich>
      </c:tx>
    </c:title>
    <c:view3D>
      <c:rotX val="30"/>
      <c:perspective val="30"/>
    </c:view3D>
    <c:plotArea>
      <c:layout/>
      <c:pie3DChart>
        <c:varyColors val="1"/>
        <c:ser>
          <c:idx val="0"/>
          <c:order val="0"/>
          <c:tx>
            <c:strRef>
              <c:f>'Total Population by Age Groups,'!$A$2</c:f>
              <c:strCache>
                <c:ptCount val="1"/>
                <c:pt idx="0">
                  <c:v>Fulton County, New York</c:v>
                </c:pt>
              </c:strCache>
            </c:strRef>
          </c:tx>
          <c:dLbls>
            <c:showVal val="1"/>
            <c:showLeaderLines val="1"/>
          </c:dLbls>
          <c:cat>
            <c:strRef>
              <c:f>'Total Population by Age Groups,'!$B$1:$I$1</c:f>
              <c:strCache>
                <c:ptCount val="8"/>
                <c:pt idx="0">
                  <c:v>Age 0-4</c:v>
                </c:pt>
                <c:pt idx="1">
                  <c:v>Age 5-17</c:v>
                </c:pt>
                <c:pt idx="2">
                  <c:v>Age 18-24</c:v>
                </c:pt>
                <c:pt idx="3">
                  <c:v>Age 25-34</c:v>
                </c:pt>
                <c:pt idx="4">
                  <c:v>Age 35-44</c:v>
                </c:pt>
                <c:pt idx="5">
                  <c:v>Age 45-54</c:v>
                </c:pt>
                <c:pt idx="6">
                  <c:v>Age 55-64</c:v>
                </c:pt>
                <c:pt idx="7">
                  <c:v>Age 65+</c:v>
                </c:pt>
              </c:strCache>
            </c:strRef>
          </c:cat>
          <c:val>
            <c:numRef>
              <c:f>'Total Population by Age Groups,'!$B$2:$I$2</c:f>
              <c:numCache>
                <c:formatCode>0.00%</c:formatCode>
                <c:ptCount val="8"/>
                <c:pt idx="0">
                  <c:v>5.2800000000000007E-2</c:v>
                </c:pt>
                <c:pt idx="1">
                  <c:v>0.17150000000000001</c:v>
                </c:pt>
                <c:pt idx="2">
                  <c:v>7.920000000000002E-2</c:v>
                </c:pt>
                <c:pt idx="3">
                  <c:v>0.1113</c:v>
                </c:pt>
                <c:pt idx="4">
                  <c:v>0.13489999999999999</c:v>
                </c:pt>
                <c:pt idx="5">
                  <c:v>0.15890000000000004</c:v>
                </c:pt>
                <c:pt idx="6">
                  <c:v>0.13220000000000001</c:v>
                </c:pt>
                <c:pt idx="7">
                  <c:v>0.15910000000000002</c:v>
                </c:pt>
              </c:numCache>
            </c:numRef>
          </c:val>
        </c:ser>
        <c:ser>
          <c:idx val="1"/>
          <c:order val="1"/>
          <c:tx>
            <c:strRef>
              <c:f>'Total Population by Age Groups,'!$A$3</c:f>
              <c:strCache>
                <c:ptCount val="1"/>
                <c:pt idx="0">
                  <c:v>New York</c:v>
                </c:pt>
              </c:strCache>
            </c:strRef>
          </c:tx>
          <c:cat>
            <c:strRef>
              <c:f>'Total Population by Age Groups,'!$B$1:$I$1</c:f>
              <c:strCache>
                <c:ptCount val="8"/>
                <c:pt idx="0">
                  <c:v>Age 0-4</c:v>
                </c:pt>
                <c:pt idx="1">
                  <c:v>Age 5-17</c:v>
                </c:pt>
                <c:pt idx="2">
                  <c:v>Age 18-24</c:v>
                </c:pt>
                <c:pt idx="3">
                  <c:v>Age 25-34</c:v>
                </c:pt>
                <c:pt idx="4">
                  <c:v>Age 35-44</c:v>
                </c:pt>
                <c:pt idx="5">
                  <c:v>Age 45-54</c:v>
                </c:pt>
                <c:pt idx="6">
                  <c:v>Age 55-64</c:v>
                </c:pt>
                <c:pt idx="7">
                  <c:v>Age 65+</c:v>
                </c:pt>
              </c:strCache>
            </c:strRef>
          </c:cat>
          <c:val>
            <c:numRef>
              <c:f>'Total Population by Age Groups,'!$B$3:$I$3</c:f>
              <c:numCache>
                <c:formatCode>0.00%</c:formatCode>
                <c:ptCount val="8"/>
                <c:pt idx="0" formatCode="0%">
                  <c:v>6.0000000000000005E-2</c:v>
                </c:pt>
                <c:pt idx="1">
                  <c:v>0.16520000000000001</c:v>
                </c:pt>
                <c:pt idx="2">
                  <c:v>0.1013</c:v>
                </c:pt>
                <c:pt idx="3">
                  <c:v>0.13650000000000001</c:v>
                </c:pt>
                <c:pt idx="4">
                  <c:v>0.13830000000000001</c:v>
                </c:pt>
                <c:pt idx="5">
                  <c:v>0.14780000000000001</c:v>
                </c:pt>
                <c:pt idx="6">
                  <c:v>0.11670000000000001</c:v>
                </c:pt>
                <c:pt idx="7">
                  <c:v>0.13420000000000001</c:v>
                </c:pt>
              </c:numCache>
            </c:numRef>
          </c:val>
        </c:ser>
        <c:ser>
          <c:idx val="2"/>
          <c:order val="2"/>
          <c:tx>
            <c:strRef>
              <c:f>'Total Population by Age Groups,'!$A$4</c:f>
              <c:strCache>
                <c:ptCount val="1"/>
                <c:pt idx="0">
                  <c:v>United States</c:v>
                </c:pt>
              </c:strCache>
            </c:strRef>
          </c:tx>
          <c:cat>
            <c:strRef>
              <c:f>'Total Population by Age Groups,'!$B$1:$I$1</c:f>
              <c:strCache>
                <c:ptCount val="8"/>
                <c:pt idx="0">
                  <c:v>Age 0-4</c:v>
                </c:pt>
                <c:pt idx="1">
                  <c:v>Age 5-17</c:v>
                </c:pt>
                <c:pt idx="2">
                  <c:v>Age 18-24</c:v>
                </c:pt>
                <c:pt idx="3">
                  <c:v>Age 25-34</c:v>
                </c:pt>
                <c:pt idx="4">
                  <c:v>Age 35-44</c:v>
                </c:pt>
                <c:pt idx="5">
                  <c:v>Age 45-54</c:v>
                </c:pt>
                <c:pt idx="6">
                  <c:v>Age 55-64</c:v>
                </c:pt>
                <c:pt idx="7">
                  <c:v>Age 65+</c:v>
                </c:pt>
              </c:strCache>
            </c:strRef>
          </c:cat>
          <c:val>
            <c:numRef>
              <c:f>'Total Population by Age Groups,'!$B$4:$I$4</c:f>
              <c:numCache>
                <c:formatCode>0.00%</c:formatCode>
                <c:ptCount val="8"/>
                <c:pt idx="0">
                  <c:v>6.5800000000000011E-2</c:v>
                </c:pt>
                <c:pt idx="1">
                  <c:v>0.17570000000000002</c:v>
                </c:pt>
                <c:pt idx="2">
                  <c:v>9.9500000000000019E-2</c:v>
                </c:pt>
                <c:pt idx="3">
                  <c:v>0.1326</c:v>
                </c:pt>
                <c:pt idx="4">
                  <c:v>0.13600000000000001</c:v>
                </c:pt>
                <c:pt idx="5">
                  <c:v>0.14540000000000003</c:v>
                </c:pt>
                <c:pt idx="6">
                  <c:v>0.1158</c:v>
                </c:pt>
                <c:pt idx="7">
                  <c:v>0.12920000000000001</c:v>
                </c:pt>
              </c:numCache>
            </c:numRef>
          </c:val>
        </c:ser>
      </c:pie3DChart>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'q50-q52'!$B$10:$B$15</c:f>
              <c:strCache>
                <c:ptCount val="6"/>
                <c:pt idx="0">
                  <c:v>Extremely </c:v>
                </c:pt>
                <c:pt idx="1">
                  <c:v>Very </c:v>
                </c:pt>
                <c:pt idx="2">
                  <c:v>Moderately </c:v>
                </c:pt>
                <c:pt idx="3">
                  <c:v>Slightly </c:v>
                </c:pt>
                <c:pt idx="4">
                  <c:v>Not at all </c:v>
                </c:pt>
                <c:pt idx="5">
                  <c:v>Don't know</c:v>
                </c:pt>
              </c:strCache>
            </c:strRef>
          </c:cat>
          <c:val>
            <c:numRef>
              <c:f>'q50-q52'!$C$10:$C$15</c:f>
              <c:numCache>
                <c:formatCode>0.0%</c:formatCode>
                <c:ptCount val="6"/>
                <c:pt idx="0">
                  <c:v>4.4843049327354294E-3</c:v>
                </c:pt>
                <c:pt idx="1">
                  <c:v>2.6905829596412592E-2</c:v>
                </c:pt>
                <c:pt idx="2">
                  <c:v>0.32286995515695543</c:v>
                </c:pt>
                <c:pt idx="3">
                  <c:v>0.24215246636771301</c:v>
                </c:pt>
                <c:pt idx="4">
                  <c:v>7.6233183856502323E-2</c:v>
                </c:pt>
                <c:pt idx="5">
                  <c:v>0.32735426008969409</c:v>
                </c:pt>
              </c:numCache>
            </c:numRef>
          </c:val>
        </c:ser>
        <c:dLbls>
          <c:showVal val="1"/>
        </c:dLbls>
        <c:axId val="165249792"/>
        <c:axId val="165251328"/>
      </c:barChart>
      <c:catAx>
        <c:axId val="165249792"/>
        <c:scaling>
          <c:orientation val="minMax"/>
        </c:scaling>
        <c:axPos val="b"/>
        <c:numFmt formatCode="General" sourceLinked="0"/>
        <c:tickLblPos val="nextTo"/>
        <c:crossAx val="165251328"/>
        <c:crosses val="autoZero"/>
        <c:auto val="1"/>
        <c:lblAlgn val="ctr"/>
        <c:lblOffset val="100"/>
      </c:catAx>
      <c:valAx>
        <c:axId val="165251328"/>
        <c:scaling>
          <c:orientation val="minMax"/>
        </c:scaling>
        <c:axPos val="l"/>
        <c:majorGridlines/>
        <c:numFmt formatCode="0%" sourceLinked="0"/>
        <c:tickLblPos val="nextTo"/>
        <c:crossAx val="165249792"/>
        <c:crosses val="autoZero"/>
        <c:crossBetween val="between"/>
        <c:majorUnit val="0.1"/>
      </c:valAx>
    </c:plotArea>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'q50-q52'!$B$10:$B$15</c:f>
              <c:strCache>
                <c:ptCount val="6"/>
                <c:pt idx="0">
                  <c:v>Extremely </c:v>
                </c:pt>
                <c:pt idx="1">
                  <c:v>Very </c:v>
                </c:pt>
                <c:pt idx="2">
                  <c:v>Moderately </c:v>
                </c:pt>
                <c:pt idx="3">
                  <c:v>Slightly </c:v>
                </c:pt>
                <c:pt idx="4">
                  <c:v>Not at all </c:v>
                </c:pt>
                <c:pt idx="5">
                  <c:v>Don't know</c:v>
                </c:pt>
              </c:strCache>
            </c:strRef>
          </c:cat>
          <c:val>
            <c:numRef>
              <c:f>'q50-q52'!$C$10:$C$15</c:f>
              <c:numCache>
                <c:formatCode>0.0%</c:formatCode>
                <c:ptCount val="6"/>
                <c:pt idx="0">
                  <c:v>4.4843049327354294E-3</c:v>
                </c:pt>
                <c:pt idx="1">
                  <c:v>2.6905829596412592E-2</c:v>
                </c:pt>
                <c:pt idx="2">
                  <c:v>0.32286995515695543</c:v>
                </c:pt>
                <c:pt idx="3">
                  <c:v>0.24215246636771301</c:v>
                </c:pt>
                <c:pt idx="4">
                  <c:v>7.6233183856502323E-2</c:v>
                </c:pt>
                <c:pt idx="5">
                  <c:v>0.32735426008969409</c:v>
                </c:pt>
              </c:numCache>
            </c:numRef>
          </c:val>
        </c:ser>
        <c:dLbls>
          <c:showVal val="1"/>
        </c:dLbls>
        <c:axId val="296778368"/>
        <c:axId val="320496384"/>
      </c:barChart>
      <c:catAx>
        <c:axId val="296778368"/>
        <c:scaling>
          <c:orientation val="minMax"/>
        </c:scaling>
        <c:axPos val="b"/>
        <c:numFmt formatCode="General" sourceLinked="0"/>
        <c:tickLblPos val="nextTo"/>
        <c:crossAx val="320496384"/>
        <c:crosses val="autoZero"/>
        <c:auto val="1"/>
        <c:lblAlgn val="ctr"/>
        <c:lblOffset val="100"/>
      </c:catAx>
      <c:valAx>
        <c:axId val="320496384"/>
        <c:scaling>
          <c:orientation val="minMax"/>
        </c:scaling>
        <c:axPos val="l"/>
        <c:majorGridlines/>
        <c:numFmt formatCode="0%" sourceLinked="0"/>
        <c:tickLblPos val="nextTo"/>
        <c:crossAx val="296778368"/>
        <c:crosses val="autoZero"/>
        <c:crossBetween val="between"/>
        <c:majorUnit val="0.1"/>
      </c:valAx>
    </c:plotArea>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'q75-q76'!$B$10:$B$15</c:f>
              <c:strCache>
                <c:ptCount val="6"/>
                <c:pt idx="0">
                  <c:v>Always</c:v>
                </c:pt>
                <c:pt idx="1">
                  <c:v>Often</c:v>
                </c:pt>
                <c:pt idx="2">
                  <c:v>Sometimes</c:v>
                </c:pt>
                <c:pt idx="3">
                  <c:v>Rarely</c:v>
                </c:pt>
                <c:pt idx="4">
                  <c:v>Never</c:v>
                </c:pt>
                <c:pt idx="5">
                  <c:v>Don't know</c:v>
                </c:pt>
              </c:strCache>
            </c:strRef>
          </c:cat>
          <c:val>
            <c:numRef>
              <c:f>'q75-q76'!$C$10:$C$15</c:f>
              <c:numCache>
                <c:formatCode>0.0%</c:formatCode>
                <c:ptCount val="6"/>
                <c:pt idx="0">
                  <c:v>1.7937219730941704E-2</c:v>
                </c:pt>
                <c:pt idx="1">
                  <c:v>0.13004484304932895</c:v>
                </c:pt>
                <c:pt idx="2">
                  <c:v>0.25112107623318375</c:v>
                </c:pt>
                <c:pt idx="3">
                  <c:v>0.20627802690582961</c:v>
                </c:pt>
                <c:pt idx="4">
                  <c:v>5.8295964125560554E-2</c:v>
                </c:pt>
                <c:pt idx="5">
                  <c:v>0.33632286995516653</c:v>
                </c:pt>
              </c:numCache>
            </c:numRef>
          </c:val>
        </c:ser>
        <c:dLbls>
          <c:showVal val="1"/>
        </c:dLbls>
        <c:axId val="230880384"/>
        <c:axId val="231560320"/>
      </c:barChart>
      <c:catAx>
        <c:axId val="230880384"/>
        <c:scaling>
          <c:orientation val="minMax"/>
        </c:scaling>
        <c:axPos val="b"/>
        <c:numFmt formatCode="General" sourceLinked="0"/>
        <c:tickLblPos val="nextTo"/>
        <c:crossAx val="231560320"/>
        <c:crosses val="autoZero"/>
        <c:auto val="1"/>
        <c:lblAlgn val="ctr"/>
        <c:lblOffset val="100"/>
      </c:catAx>
      <c:valAx>
        <c:axId val="231560320"/>
        <c:scaling>
          <c:orientation val="minMax"/>
        </c:scaling>
        <c:axPos val="l"/>
        <c:majorGridlines/>
        <c:numFmt formatCode="0%" sourceLinked="0"/>
        <c:tickLblPos val="nextTo"/>
        <c:crossAx val="230880384"/>
        <c:crosses val="autoZero"/>
        <c:crossBetween val="between"/>
      </c:valAx>
    </c:plotArea>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'q75-q76'!$B$28:$B$33</c:f>
              <c:strCache>
                <c:ptCount val="6"/>
                <c:pt idx="0">
                  <c:v>Strongly agree</c:v>
                </c:pt>
                <c:pt idx="1">
                  <c:v>Agree</c:v>
                </c:pt>
                <c:pt idx="2">
                  <c:v>Neither agree nor disagree</c:v>
                </c:pt>
                <c:pt idx="3">
                  <c:v>Disagree</c:v>
                </c:pt>
                <c:pt idx="4">
                  <c:v>Strongly disagree</c:v>
                </c:pt>
                <c:pt idx="5">
                  <c:v>Don't know</c:v>
                </c:pt>
              </c:strCache>
            </c:strRef>
          </c:cat>
          <c:val>
            <c:numRef>
              <c:f>'q75-q76'!$C$28:$C$33</c:f>
              <c:numCache>
                <c:formatCode>0.0%</c:formatCode>
                <c:ptCount val="6"/>
                <c:pt idx="0">
                  <c:v>0.21524663677130365</c:v>
                </c:pt>
                <c:pt idx="1">
                  <c:v>0.36322869955157217</c:v>
                </c:pt>
                <c:pt idx="2">
                  <c:v>0.21076233183856724</c:v>
                </c:pt>
                <c:pt idx="3">
                  <c:v>4.0358744394618833E-2</c:v>
                </c:pt>
                <c:pt idx="4">
                  <c:v>4.9327354260089683E-2</c:v>
                </c:pt>
                <c:pt idx="5">
                  <c:v>0.12107623318385728</c:v>
                </c:pt>
              </c:numCache>
            </c:numRef>
          </c:val>
        </c:ser>
        <c:dLbls>
          <c:showVal val="1"/>
        </c:dLbls>
        <c:axId val="217202688"/>
        <c:axId val="217205760"/>
      </c:barChart>
      <c:catAx>
        <c:axId val="217202688"/>
        <c:scaling>
          <c:orientation val="minMax"/>
        </c:scaling>
        <c:axPos val="b"/>
        <c:numFmt formatCode="General" sourceLinked="0"/>
        <c:tickLblPos val="nextTo"/>
        <c:crossAx val="217205760"/>
        <c:crosses val="autoZero"/>
        <c:auto val="1"/>
        <c:lblAlgn val="ctr"/>
        <c:lblOffset val="100"/>
      </c:catAx>
      <c:valAx>
        <c:axId val="217205760"/>
        <c:scaling>
          <c:orientation val="minMax"/>
        </c:scaling>
        <c:axPos val="l"/>
        <c:majorGridlines/>
        <c:numFmt formatCode="0%" sourceLinked="0"/>
        <c:tickLblPos val="nextTo"/>
        <c:crossAx val="217202688"/>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Sheet12!$B$1</c:f>
              <c:strCache>
                <c:ptCount val="1"/>
              </c:strCache>
            </c:strRef>
          </c:tx>
          <c:cat>
            <c:strRef>
              <c:f>Sheet12!$A$2:$A$13</c:f>
              <c:strCache>
                <c:ptCount val="12"/>
                <c:pt idx="0">
                  <c:v>City of Johnstown</c:v>
                </c:pt>
                <c:pt idx="1">
                  <c:v>City of Gloversville</c:v>
                </c:pt>
                <c:pt idx="2">
                  <c:v>Bleecker</c:v>
                </c:pt>
                <c:pt idx="3">
                  <c:v>Broadalbin</c:v>
                </c:pt>
                <c:pt idx="4">
                  <c:v>Caroga</c:v>
                </c:pt>
                <c:pt idx="5">
                  <c:v>Ephratah</c:v>
                </c:pt>
                <c:pt idx="6">
                  <c:v>Town Johnstown</c:v>
                </c:pt>
                <c:pt idx="7">
                  <c:v>Town Mayfield</c:v>
                </c:pt>
                <c:pt idx="8">
                  <c:v>Northampton</c:v>
                </c:pt>
                <c:pt idx="9">
                  <c:v>Oppenheim</c:v>
                </c:pt>
                <c:pt idx="10">
                  <c:v>Perth </c:v>
                </c:pt>
                <c:pt idx="11">
                  <c:v>Stratford</c:v>
                </c:pt>
              </c:strCache>
            </c:strRef>
          </c:cat>
          <c:val>
            <c:numRef>
              <c:f>Sheet12!$B$2:$B$13</c:f>
              <c:numCache>
                <c:formatCode>General</c:formatCode>
                <c:ptCount val="12"/>
              </c:numCache>
            </c:numRef>
          </c:val>
        </c:ser>
        <c:ser>
          <c:idx val="1"/>
          <c:order val="1"/>
          <c:tx>
            <c:strRef>
              <c:f>Sheet12!$C$1</c:f>
              <c:strCache>
                <c:ptCount val="1"/>
              </c:strCache>
            </c:strRef>
          </c:tx>
          <c:dLbls>
            <c:txPr>
              <a:bodyPr/>
              <a:lstStyle/>
              <a:p>
                <a:pPr>
                  <a:defRPr sz="700"/>
                </a:pPr>
                <a:endParaRPr lang="en-US"/>
              </a:p>
            </c:txPr>
            <c:showVal val="1"/>
          </c:dLbls>
          <c:cat>
            <c:strRef>
              <c:f>Sheet12!$A$2:$A$13</c:f>
              <c:strCache>
                <c:ptCount val="12"/>
                <c:pt idx="0">
                  <c:v>City of Johnstown</c:v>
                </c:pt>
                <c:pt idx="1">
                  <c:v>City of Gloversville</c:v>
                </c:pt>
                <c:pt idx="2">
                  <c:v>Bleecker</c:v>
                </c:pt>
                <c:pt idx="3">
                  <c:v>Broadalbin</c:v>
                </c:pt>
                <c:pt idx="4">
                  <c:v>Caroga</c:v>
                </c:pt>
                <c:pt idx="5">
                  <c:v>Ephratah</c:v>
                </c:pt>
                <c:pt idx="6">
                  <c:v>Town Johnstown</c:v>
                </c:pt>
                <c:pt idx="7">
                  <c:v>Town Mayfield</c:v>
                </c:pt>
                <c:pt idx="8">
                  <c:v>Northampton</c:v>
                </c:pt>
                <c:pt idx="9">
                  <c:v>Oppenheim</c:v>
                </c:pt>
                <c:pt idx="10">
                  <c:v>Perth </c:v>
                </c:pt>
                <c:pt idx="11">
                  <c:v>Stratford</c:v>
                </c:pt>
              </c:strCache>
            </c:strRef>
          </c:cat>
          <c:val>
            <c:numRef>
              <c:f>Sheet12!$C$2:$C$13</c:f>
              <c:numCache>
                <c:formatCode>General</c:formatCode>
                <c:ptCount val="12"/>
                <c:pt idx="0">
                  <c:v>7098</c:v>
                </c:pt>
                <c:pt idx="1">
                  <c:v>15665</c:v>
                </c:pt>
                <c:pt idx="2">
                  <c:v>533</c:v>
                </c:pt>
                <c:pt idx="3">
                  <c:v>5260</c:v>
                </c:pt>
                <c:pt idx="4">
                  <c:v>1205</c:v>
                </c:pt>
                <c:pt idx="5">
                  <c:v>1682</c:v>
                </c:pt>
                <c:pt idx="6">
                  <c:v>7098</c:v>
                </c:pt>
                <c:pt idx="7">
                  <c:v>6495</c:v>
                </c:pt>
                <c:pt idx="8">
                  <c:v>2670</c:v>
                </c:pt>
                <c:pt idx="9">
                  <c:v>1924</c:v>
                </c:pt>
                <c:pt idx="10">
                  <c:v>3646</c:v>
                </c:pt>
                <c:pt idx="11">
                  <c:v>610</c:v>
                </c:pt>
              </c:numCache>
            </c:numRef>
          </c:val>
        </c:ser>
        <c:shape val="box"/>
        <c:axId val="110189568"/>
        <c:axId val="111305472"/>
        <c:axId val="0"/>
      </c:bar3DChart>
      <c:catAx>
        <c:axId val="110189568"/>
        <c:scaling>
          <c:orientation val="minMax"/>
        </c:scaling>
        <c:axPos val="b"/>
        <c:tickLblPos val="nextTo"/>
        <c:txPr>
          <a:bodyPr/>
          <a:lstStyle/>
          <a:p>
            <a:pPr>
              <a:defRPr sz="900"/>
            </a:pPr>
            <a:endParaRPr lang="en-US"/>
          </a:p>
        </c:txPr>
        <c:crossAx val="111305472"/>
        <c:crosses val="autoZero"/>
        <c:auto val="1"/>
        <c:lblAlgn val="ctr"/>
        <c:lblOffset val="100"/>
      </c:catAx>
      <c:valAx>
        <c:axId val="111305472"/>
        <c:scaling>
          <c:orientation val="minMax"/>
        </c:scaling>
        <c:axPos val="l"/>
        <c:majorGridlines/>
        <c:numFmt formatCode="General" sourceLinked="1"/>
        <c:tickLblPos val="nextTo"/>
        <c:txPr>
          <a:bodyPr/>
          <a:lstStyle/>
          <a:p>
            <a:pPr>
              <a:defRPr sz="900"/>
            </a:pPr>
            <a:endParaRPr lang="en-US"/>
          </a:p>
        </c:txPr>
        <c:crossAx val="110189568"/>
        <c:crosses val="autoZero"/>
        <c:crossBetween val="between"/>
      </c:valAx>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4"/>
  <c:chart>
    <c:title/>
    <c:view3D>
      <c:rotX val="30"/>
      <c:perspective val="30"/>
    </c:view3D>
    <c:plotArea>
      <c:layout/>
      <c:pie3DChart>
        <c:varyColors val="1"/>
        <c:ser>
          <c:idx val="0"/>
          <c:order val="0"/>
          <c:tx>
            <c:strRef>
              <c:f>Sheet8!$B$1</c:f>
              <c:strCache>
                <c:ptCount val="1"/>
                <c:pt idx="0">
                  <c:v>Fulton</c:v>
                </c:pt>
              </c:strCache>
            </c:strRef>
          </c:tx>
          <c:explosion val="25"/>
          <c:dLbls>
            <c:dLbl>
              <c:idx val="0"/>
              <c:layout>
                <c:manualLayout>
                  <c:x val="-3.6792835362952754E-2"/>
                  <c:y val="-0.15629155112673096"/>
                </c:manualLayout>
              </c:layout>
              <c:dLblPos val="bestFit"/>
              <c:showVal val="1"/>
            </c:dLbl>
            <c:dLbl>
              <c:idx val="1"/>
              <c:layout>
                <c:manualLayout>
                  <c:x val="-2.1767357161782551E-3"/>
                  <c:y val="2.5107878464344566E-2"/>
                </c:manualLayout>
              </c:layout>
              <c:dLblPos val="bestFit"/>
              <c:showVal val="1"/>
            </c:dLbl>
            <c:dLbl>
              <c:idx val="2"/>
              <c:layout>
                <c:manualLayout>
                  <c:x val="5.4535500407680492E-3"/>
                  <c:y val="-2.5564353890791862E-2"/>
                </c:manualLayout>
              </c:layout>
              <c:dLblPos val="bestFit"/>
              <c:showVal val="1"/>
            </c:dLbl>
            <c:dLbl>
              <c:idx val="4"/>
              <c:layout>
                <c:manualLayout>
                  <c:x val="2.8049881940998278E-2"/>
                  <c:y val="-2.7321302351330401E-2"/>
                </c:manualLayout>
              </c:layout>
              <c:dLblPos val="bestFit"/>
              <c:showVal val="1"/>
            </c:dLbl>
            <c:dLbl>
              <c:idx val="5"/>
              <c:layout>
                <c:manualLayout>
                  <c:x val="2.0626876464758689E-2"/>
                  <c:y val="3.1529921754131017E-2"/>
                </c:manualLayout>
              </c:layout>
              <c:dLblPos val="bestFit"/>
              <c:showVal val="1"/>
            </c:dLbl>
            <c:txPr>
              <a:bodyPr/>
              <a:lstStyle/>
              <a:p>
                <a:pPr>
                  <a:defRPr sz="800"/>
                </a:pPr>
                <a:endParaRPr lang="en-US"/>
              </a:p>
            </c:txPr>
            <c:dLblPos val="bestFit"/>
            <c:showVal val="1"/>
          </c:dLbls>
          <c:cat>
            <c:strRef>
              <c:f>Sheet8!$A$2:$A$7</c:f>
              <c:strCache>
                <c:ptCount val="6"/>
                <c:pt idx="0">
                  <c:v>Percent White, Non-Hispanic</c:v>
                </c:pt>
                <c:pt idx="1">
                  <c:v>Percent Black, Non-Hispanic</c:v>
                </c:pt>
                <c:pt idx="2">
                  <c:v>Percent Hispanic/Latino</c:v>
                </c:pt>
                <c:pt idx="3">
                  <c:v>Percent Asian/Pacific Islander, Non-Hispanic</c:v>
                </c:pt>
                <c:pt idx="4">
                  <c:v>Percent Alaskan Native/American Indian</c:v>
                </c:pt>
                <c:pt idx="5">
                  <c:v>Percent Multi-race/Other</c:v>
                </c:pt>
              </c:strCache>
            </c:strRef>
          </c:cat>
          <c:val>
            <c:numRef>
              <c:f>Sheet8!$B$2:$B$7</c:f>
              <c:numCache>
                <c:formatCode>0.0%</c:formatCode>
                <c:ptCount val="6"/>
                <c:pt idx="0">
                  <c:v>0.93971797461050299</c:v>
                </c:pt>
                <c:pt idx="1">
                  <c:v>1.7527409117137949E-2</c:v>
                </c:pt>
                <c:pt idx="2">
                  <c:v>2.3550201961915748E-2</c:v>
                </c:pt>
                <c:pt idx="3">
                  <c:v>6.2932775533756534E-3</c:v>
                </c:pt>
                <c:pt idx="4">
                  <c:v>2.1097807270629063E-3</c:v>
                </c:pt>
                <c:pt idx="5">
                  <c:v>1.0801356030005781E-2</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Sheet6!$A$2</c:f>
              <c:strCache>
                <c:ptCount val="1"/>
                <c:pt idx="0">
                  <c:v>Percent of Individuals Under Federal Poverty Level</c:v>
                </c:pt>
              </c:strCache>
            </c:strRef>
          </c:tx>
          <c:dLbls>
            <c:txPr>
              <a:bodyPr/>
              <a:lstStyle/>
              <a:p>
                <a:pPr>
                  <a:defRPr sz="700"/>
                </a:pPr>
                <a:endParaRPr lang="en-US"/>
              </a:p>
            </c:txPr>
            <c:showVal val="1"/>
          </c:dLbls>
          <c:cat>
            <c:strRef>
              <c:f>Sheet6!$B$1:$E$1</c:f>
              <c:strCache>
                <c:ptCount val="4"/>
                <c:pt idx="0">
                  <c:v>Fulton</c:v>
                </c:pt>
                <c:pt idx="1">
                  <c:v>ARHN</c:v>
                </c:pt>
                <c:pt idx="2">
                  <c:v>Upstate</c:v>
                </c:pt>
                <c:pt idx="3">
                  <c:v>NYS</c:v>
                </c:pt>
              </c:strCache>
            </c:strRef>
          </c:cat>
          <c:val>
            <c:numRef>
              <c:f>Sheet6!$B$2:$E$2</c:f>
              <c:numCache>
                <c:formatCode>0.0%</c:formatCode>
                <c:ptCount val="4"/>
                <c:pt idx="0">
                  <c:v>0.16500000000000001</c:v>
                </c:pt>
                <c:pt idx="1">
                  <c:v>0.10886692593612357</c:v>
                </c:pt>
                <c:pt idx="2">
                  <c:v>0.10915215580337292</c:v>
                </c:pt>
                <c:pt idx="3">
                  <c:v>0.14479568834999607</c:v>
                </c:pt>
              </c:numCache>
            </c:numRef>
          </c:val>
        </c:ser>
        <c:ser>
          <c:idx val="1"/>
          <c:order val="1"/>
          <c:tx>
            <c:strRef>
              <c:f>Sheet6!$A$3</c:f>
              <c:strCache>
                <c:ptCount val="1"/>
                <c:pt idx="0">
                  <c:v>Percent of Individuals Receiving Medicaid</c:v>
                </c:pt>
              </c:strCache>
            </c:strRef>
          </c:tx>
          <c:dLbls>
            <c:dLbl>
              <c:idx val="0"/>
              <c:tx>
                <c:rich>
                  <a:bodyPr/>
                  <a:lstStyle/>
                  <a:p>
                    <a:r>
                      <a:rPr lang="en-US" sz="700"/>
                      <a:t>25.0</a:t>
                    </a:r>
                    <a:r>
                      <a:rPr lang="en-US"/>
                      <a:t>%</a:t>
                    </a:r>
                  </a:p>
                </c:rich>
              </c:tx>
              <c:showVal val="1"/>
            </c:dLbl>
            <c:txPr>
              <a:bodyPr/>
              <a:lstStyle/>
              <a:p>
                <a:pPr>
                  <a:defRPr sz="700"/>
                </a:pPr>
                <a:endParaRPr lang="en-US"/>
              </a:p>
            </c:txPr>
            <c:showVal val="1"/>
          </c:dLbls>
          <c:cat>
            <c:strRef>
              <c:f>Sheet6!$B$1:$E$1</c:f>
              <c:strCache>
                <c:ptCount val="4"/>
                <c:pt idx="0">
                  <c:v>Fulton</c:v>
                </c:pt>
                <c:pt idx="1">
                  <c:v>ARHN</c:v>
                </c:pt>
                <c:pt idx="2">
                  <c:v>Upstate</c:v>
                </c:pt>
                <c:pt idx="3">
                  <c:v>NYS</c:v>
                </c:pt>
              </c:strCache>
            </c:strRef>
          </c:cat>
          <c:val>
            <c:numRef>
              <c:f>Sheet6!$B$3:$E$3</c:f>
              <c:numCache>
                <c:formatCode>0.0%</c:formatCode>
                <c:ptCount val="4"/>
                <c:pt idx="0">
                  <c:v>0.24993838959415318</c:v>
                </c:pt>
                <c:pt idx="1">
                  <c:v>0.15930430318465494</c:v>
                </c:pt>
                <c:pt idx="2">
                  <c:v>0.16324148420168216</c:v>
                </c:pt>
                <c:pt idx="3">
                  <c:v>0.25376083126865606</c:v>
                </c:pt>
              </c:numCache>
            </c:numRef>
          </c:val>
        </c:ser>
        <c:axId val="213609088"/>
        <c:axId val="213614976"/>
      </c:barChart>
      <c:catAx>
        <c:axId val="213609088"/>
        <c:scaling>
          <c:orientation val="minMax"/>
        </c:scaling>
        <c:axPos val="b"/>
        <c:tickLblPos val="nextTo"/>
        <c:crossAx val="213614976"/>
        <c:crosses val="autoZero"/>
        <c:auto val="1"/>
        <c:lblAlgn val="ctr"/>
        <c:lblOffset val="100"/>
      </c:catAx>
      <c:valAx>
        <c:axId val="213614976"/>
        <c:scaling>
          <c:orientation val="minMax"/>
        </c:scaling>
        <c:axPos val="l"/>
        <c:majorGridlines/>
        <c:numFmt formatCode="0%" sourceLinked="0"/>
        <c:tickLblPos val="nextTo"/>
        <c:crossAx val="21360908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Sheet10!$B$1</c:f>
              <c:strCache>
                <c:ptCount val="1"/>
                <c:pt idx="0">
                  <c:v>Fulton</c:v>
                </c:pt>
              </c:strCache>
            </c:strRef>
          </c:tx>
          <c:dLbls>
            <c:txPr>
              <a:bodyPr/>
              <a:lstStyle/>
              <a:p>
                <a:pPr>
                  <a:defRPr sz="700"/>
                </a:pPr>
                <a:endParaRPr lang="en-US"/>
              </a:p>
            </c:txPr>
            <c:showVal val="1"/>
          </c:dLbls>
          <c:cat>
            <c:strRef>
              <c:f>Sheet10!$A$2:$A$7</c:f>
              <c:strCache>
                <c:ptCount val="6"/>
                <c:pt idx="0">
                  <c:v>Percent with Less than High School Education/GED</c:v>
                </c:pt>
                <c:pt idx="1">
                  <c:v>Percent High School Graduate/GED</c:v>
                </c:pt>
                <c:pt idx="2">
                  <c:v>Percent Some College, No Degree</c:v>
                </c:pt>
                <c:pt idx="3">
                  <c:v>Percent Associate Degree</c:v>
                </c:pt>
                <c:pt idx="4">
                  <c:v>Percent Bachelor's Degree</c:v>
                </c:pt>
                <c:pt idx="5">
                  <c:v>Percent Graduate or Professional Degree</c:v>
                </c:pt>
              </c:strCache>
            </c:strRef>
          </c:cat>
          <c:val>
            <c:numRef>
              <c:f>Sheet10!$B$2:$B$7</c:f>
              <c:numCache>
                <c:formatCode>0.0%</c:formatCode>
                <c:ptCount val="6"/>
                <c:pt idx="0">
                  <c:v>0.16565703634669199</c:v>
                </c:pt>
                <c:pt idx="1">
                  <c:v>0.39212488350419461</c:v>
                </c:pt>
                <c:pt idx="2">
                  <c:v>0.18093093093093124</c:v>
                </c:pt>
                <c:pt idx="3">
                  <c:v>0.11181008594801699</c:v>
                </c:pt>
                <c:pt idx="4">
                  <c:v>8.9054571813192679E-2</c:v>
                </c:pt>
                <c:pt idx="5">
                  <c:v>6.0422491456974342E-2</c:v>
                </c:pt>
              </c:numCache>
            </c:numRef>
          </c:val>
        </c:ser>
        <c:ser>
          <c:idx val="1"/>
          <c:order val="1"/>
          <c:tx>
            <c:strRef>
              <c:f>Sheet10!$C$1</c:f>
              <c:strCache>
                <c:ptCount val="1"/>
                <c:pt idx="0">
                  <c:v>ARHN</c:v>
                </c:pt>
              </c:strCache>
            </c:strRef>
          </c:tx>
          <c:dLbls>
            <c:txPr>
              <a:bodyPr/>
              <a:lstStyle/>
              <a:p>
                <a:pPr>
                  <a:defRPr sz="700"/>
                </a:pPr>
                <a:endParaRPr lang="en-US"/>
              </a:p>
            </c:txPr>
            <c:showVal val="1"/>
          </c:dLbls>
          <c:cat>
            <c:strRef>
              <c:f>Sheet10!$A$2:$A$7</c:f>
              <c:strCache>
                <c:ptCount val="6"/>
                <c:pt idx="0">
                  <c:v>Percent with Less than High School Education/GED</c:v>
                </c:pt>
                <c:pt idx="1">
                  <c:v>Percent High School Graduate/GED</c:v>
                </c:pt>
                <c:pt idx="2">
                  <c:v>Percent Some College, No Degree</c:v>
                </c:pt>
                <c:pt idx="3">
                  <c:v>Percent Associate Degree</c:v>
                </c:pt>
                <c:pt idx="4">
                  <c:v>Percent Bachelor's Degree</c:v>
                </c:pt>
                <c:pt idx="5">
                  <c:v>Percent Graduate or Professional Degree</c:v>
                </c:pt>
              </c:strCache>
            </c:strRef>
          </c:cat>
          <c:val>
            <c:numRef>
              <c:f>Sheet10!$C$2:$C$7</c:f>
              <c:numCache>
                <c:formatCode>0.0%</c:formatCode>
                <c:ptCount val="6"/>
                <c:pt idx="0">
                  <c:v>0.1155570043191263</c:v>
                </c:pt>
                <c:pt idx="1">
                  <c:v>0.33942060981422201</c:v>
                </c:pt>
                <c:pt idx="2">
                  <c:v>0.17481225752760296</c:v>
                </c:pt>
                <c:pt idx="3">
                  <c:v>0.10833129600956184</c:v>
                </c:pt>
                <c:pt idx="4">
                  <c:v>0.14938398737600128</c:v>
                </c:pt>
                <c:pt idx="5">
                  <c:v>0.11249484495348747</c:v>
                </c:pt>
              </c:numCache>
            </c:numRef>
          </c:val>
        </c:ser>
        <c:ser>
          <c:idx val="2"/>
          <c:order val="2"/>
          <c:tx>
            <c:strRef>
              <c:f>Sheet10!$D$1</c:f>
              <c:strCache>
                <c:ptCount val="1"/>
                <c:pt idx="0">
                  <c:v>Upstate</c:v>
                </c:pt>
              </c:strCache>
            </c:strRef>
          </c:tx>
          <c:dLbls>
            <c:dLbl>
              <c:idx val="0"/>
              <c:tx>
                <c:rich>
                  <a:bodyPr/>
                  <a:lstStyle/>
                  <a:p>
                    <a:r>
                      <a:rPr lang="en-US" sz="700"/>
                      <a:t>1</a:t>
                    </a:r>
                    <a:r>
                      <a:rPr lang="en-US"/>
                      <a:t>1.4</a:t>
                    </a:r>
                    <a:r>
                      <a:rPr lang="en-US" sz="700"/>
                      <a:t>%</a:t>
                    </a:r>
                  </a:p>
                </c:rich>
              </c:tx>
              <c:showVal val="1"/>
            </c:dLbl>
            <c:txPr>
              <a:bodyPr/>
              <a:lstStyle/>
              <a:p>
                <a:pPr>
                  <a:defRPr sz="700"/>
                </a:pPr>
                <a:endParaRPr lang="en-US"/>
              </a:p>
            </c:txPr>
            <c:showVal val="1"/>
          </c:dLbls>
          <c:cat>
            <c:strRef>
              <c:f>Sheet10!$A$2:$A$7</c:f>
              <c:strCache>
                <c:ptCount val="6"/>
                <c:pt idx="0">
                  <c:v>Percent with Less than High School Education/GED</c:v>
                </c:pt>
                <c:pt idx="1">
                  <c:v>Percent High School Graduate/GED</c:v>
                </c:pt>
                <c:pt idx="2">
                  <c:v>Percent Some College, No Degree</c:v>
                </c:pt>
                <c:pt idx="3">
                  <c:v>Percent Associate Degree</c:v>
                </c:pt>
                <c:pt idx="4">
                  <c:v>Percent Bachelor's Degree</c:v>
                </c:pt>
                <c:pt idx="5">
                  <c:v>Percent Graduate or Professional Degree</c:v>
                </c:pt>
              </c:strCache>
            </c:strRef>
          </c:cat>
          <c:val>
            <c:numRef>
              <c:f>Sheet10!$D$2:$D$7</c:f>
              <c:numCache>
                <c:formatCode>0.0%</c:formatCode>
                <c:ptCount val="6"/>
                <c:pt idx="0">
                  <c:v>0.11386286925377451</c:v>
                </c:pt>
                <c:pt idx="1">
                  <c:v>0.2973263960292491</c:v>
                </c:pt>
                <c:pt idx="2">
                  <c:v>0.17447331340252953</c:v>
                </c:pt>
                <c:pt idx="3">
                  <c:v>9.8244727195619219E-2</c:v>
                </c:pt>
                <c:pt idx="4">
                  <c:v>0.17453122954502626</c:v>
                </c:pt>
                <c:pt idx="5">
                  <c:v>0.14156146457380345</c:v>
                </c:pt>
              </c:numCache>
            </c:numRef>
          </c:val>
        </c:ser>
        <c:ser>
          <c:idx val="3"/>
          <c:order val="3"/>
          <c:tx>
            <c:strRef>
              <c:f>Sheet10!$E$1</c:f>
              <c:strCache>
                <c:ptCount val="1"/>
                <c:pt idx="0">
                  <c:v>NYS</c:v>
                </c:pt>
              </c:strCache>
            </c:strRef>
          </c:tx>
          <c:dLbls>
            <c:txPr>
              <a:bodyPr/>
              <a:lstStyle/>
              <a:p>
                <a:pPr>
                  <a:defRPr sz="700"/>
                </a:pPr>
                <a:endParaRPr lang="en-US"/>
              </a:p>
            </c:txPr>
            <c:showVal val="1"/>
          </c:dLbls>
          <c:cat>
            <c:strRef>
              <c:f>Sheet10!$A$2:$A$7</c:f>
              <c:strCache>
                <c:ptCount val="6"/>
                <c:pt idx="0">
                  <c:v>Percent with Less than High School Education/GED</c:v>
                </c:pt>
                <c:pt idx="1">
                  <c:v>Percent High School Graduate/GED</c:v>
                </c:pt>
                <c:pt idx="2">
                  <c:v>Percent Some College, No Degree</c:v>
                </c:pt>
                <c:pt idx="3">
                  <c:v>Percent Associate Degree</c:v>
                </c:pt>
                <c:pt idx="4">
                  <c:v>Percent Bachelor's Degree</c:v>
                </c:pt>
                <c:pt idx="5">
                  <c:v>Percent Graduate or Professional Degree</c:v>
                </c:pt>
              </c:strCache>
            </c:strRef>
          </c:cat>
          <c:val>
            <c:numRef>
              <c:f>Sheet10!$E$2:$E$7</c:f>
              <c:numCache>
                <c:formatCode>0.0%</c:formatCode>
                <c:ptCount val="6"/>
                <c:pt idx="0">
                  <c:v>0.15350814606099841</c:v>
                </c:pt>
                <c:pt idx="1">
                  <c:v>0.27787526463572798</c:v>
                </c:pt>
                <c:pt idx="2">
                  <c:v>0.16134507914282392</c:v>
                </c:pt>
                <c:pt idx="3">
                  <c:v>8.2373185436055568E-2</c:v>
                </c:pt>
                <c:pt idx="4">
                  <c:v>0.18496834448596547</c:v>
                </c:pt>
                <c:pt idx="5">
                  <c:v>0.13992998023842992</c:v>
                </c:pt>
              </c:numCache>
            </c:numRef>
          </c:val>
        </c:ser>
        <c:axId val="213029248"/>
        <c:axId val="213030784"/>
      </c:barChart>
      <c:catAx>
        <c:axId val="213029248"/>
        <c:scaling>
          <c:orientation val="minMax"/>
        </c:scaling>
        <c:axPos val="b"/>
        <c:tickLblPos val="nextTo"/>
        <c:txPr>
          <a:bodyPr/>
          <a:lstStyle/>
          <a:p>
            <a:pPr>
              <a:defRPr sz="800"/>
            </a:pPr>
            <a:endParaRPr lang="en-US"/>
          </a:p>
        </c:txPr>
        <c:crossAx val="213030784"/>
        <c:crosses val="autoZero"/>
        <c:auto val="1"/>
        <c:lblAlgn val="ctr"/>
        <c:lblOffset val="100"/>
      </c:catAx>
      <c:valAx>
        <c:axId val="213030784"/>
        <c:scaling>
          <c:orientation val="minMax"/>
        </c:scaling>
        <c:axPos val="l"/>
        <c:majorGridlines/>
        <c:numFmt formatCode="0%" sourceLinked="0"/>
        <c:tickLblPos val="nextTo"/>
        <c:crossAx val="213029248"/>
        <c:crosses val="autoZero"/>
        <c:crossBetween val="between"/>
      </c:valAx>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view3D>
      <c:rotX val="30"/>
      <c:perspective val="30"/>
    </c:view3D>
    <c:plotArea>
      <c:layout/>
      <c:pie3DChart>
        <c:varyColors val="1"/>
        <c:ser>
          <c:idx val="0"/>
          <c:order val="0"/>
          <c:dLbls>
            <c:showVal val="1"/>
          </c:dLbls>
          <c:cat>
            <c:strRef>
              <c:f>Sheet14!$A$1:$A$5</c:f>
              <c:strCache>
                <c:ptCount val="5"/>
                <c:pt idx="0">
                  <c:v>less than 20%</c:v>
                </c:pt>
                <c:pt idx="1">
                  <c:v>20-24.9%</c:v>
                </c:pt>
                <c:pt idx="2">
                  <c:v>25-29.9%</c:v>
                </c:pt>
                <c:pt idx="3">
                  <c:v>30-34.9%</c:v>
                </c:pt>
                <c:pt idx="4">
                  <c:v>35% or more</c:v>
                </c:pt>
              </c:strCache>
            </c:strRef>
          </c:cat>
          <c:val>
            <c:numRef>
              <c:f>Sheet14!$B$1:$B$5</c:f>
              <c:numCache>
                <c:formatCode>General</c:formatCode>
                <c:ptCount val="5"/>
                <c:pt idx="0">
                  <c:v>43.3</c:v>
                </c:pt>
                <c:pt idx="1">
                  <c:v>17.7</c:v>
                </c:pt>
                <c:pt idx="2">
                  <c:v>9.5</c:v>
                </c:pt>
                <c:pt idx="3">
                  <c:v>7.7</c:v>
                </c:pt>
                <c:pt idx="4">
                  <c:v>22.9</c:v>
                </c:pt>
              </c:numCache>
            </c:numRef>
          </c:val>
        </c:ser>
      </c:pie3DChart>
    </c:plotArea>
    <c:legend>
      <c:legendPos val="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a:pPr>
            <a:r>
              <a:rPr lang="en-US"/>
              <a:t>Fulton</a:t>
            </a:r>
            <a:r>
              <a:rPr lang="en-US" baseline="0"/>
              <a:t> County Housing Age</a:t>
            </a:r>
            <a:endParaRPr lang="en-US"/>
          </a:p>
        </c:rich>
      </c:tx>
      <c:layout>
        <c:manualLayout>
          <c:xMode val="edge"/>
          <c:yMode val="edge"/>
          <c:x val="0.22339588801399826"/>
          <c:y val="2.3148148148148147E-2"/>
        </c:manualLayout>
      </c:layout>
    </c:title>
    <c:plotArea>
      <c:layout/>
      <c:barChart>
        <c:barDir val="bar"/>
        <c:grouping val="clustered"/>
        <c:ser>
          <c:idx val="0"/>
          <c:order val="0"/>
          <c:tx>
            <c:v>Year Built</c:v>
          </c:tx>
          <c:dLbls>
            <c:dLbl>
              <c:idx val="1"/>
              <c:tx>
                <c:rich>
                  <a:bodyPr/>
                  <a:lstStyle/>
                  <a:p>
                    <a:r>
                      <a:rPr lang="en-US"/>
                      <a:t>16.5%</a:t>
                    </a:r>
                  </a:p>
                </c:rich>
              </c:tx>
              <c:showVal val="1"/>
            </c:dLbl>
            <c:dLbl>
              <c:idx val="2"/>
              <c:tx>
                <c:rich>
                  <a:bodyPr/>
                  <a:lstStyle/>
                  <a:p>
                    <a:r>
                      <a:rPr lang="en-US"/>
                      <a:t>17.6%</a:t>
                    </a:r>
                  </a:p>
                </c:rich>
              </c:tx>
              <c:showVal val="1"/>
            </c:dLbl>
            <c:dLbl>
              <c:idx val="3"/>
              <c:tx>
                <c:rich>
                  <a:bodyPr/>
                  <a:lstStyle/>
                  <a:p>
                    <a:r>
                      <a:rPr lang="en-US"/>
                      <a:t>19.4%</a:t>
                    </a:r>
                  </a:p>
                </c:rich>
              </c:tx>
              <c:showVal val="1"/>
            </c:dLbl>
            <c:dLbl>
              <c:idx val="4"/>
              <c:tx>
                <c:rich>
                  <a:bodyPr/>
                  <a:lstStyle/>
                  <a:p>
                    <a:r>
                      <a:rPr lang="en-US"/>
                      <a:t>40.5%</a:t>
                    </a:r>
                  </a:p>
                </c:rich>
              </c:tx>
              <c:showVal val="1"/>
            </c:dLbl>
            <c:showVal val="1"/>
          </c:dLbls>
          <c:cat>
            <c:strRef>
              <c:f>Sheet14!$A$7:$A$11</c:f>
              <c:strCache>
                <c:ptCount val="5"/>
                <c:pt idx="0">
                  <c:v>2000-2010</c:v>
                </c:pt>
                <c:pt idx="1">
                  <c:v>1980-1999</c:v>
                </c:pt>
                <c:pt idx="2">
                  <c:v>1960-1979</c:v>
                </c:pt>
                <c:pt idx="3">
                  <c:v>1940-1959</c:v>
                </c:pt>
                <c:pt idx="4">
                  <c:v>1939 or earlier</c:v>
                </c:pt>
              </c:strCache>
            </c:strRef>
          </c:cat>
          <c:val>
            <c:numRef>
              <c:f>Sheet14!$B$7:$B$11</c:f>
              <c:numCache>
                <c:formatCode>0.00%</c:formatCode>
                <c:ptCount val="5"/>
                <c:pt idx="0" formatCode="0%">
                  <c:v>6.0000000000000005E-2</c:v>
                </c:pt>
                <c:pt idx="1">
                  <c:v>0.16500000000000001</c:v>
                </c:pt>
                <c:pt idx="2">
                  <c:v>0.17600000000000002</c:v>
                </c:pt>
                <c:pt idx="3">
                  <c:v>0.19400000000000001</c:v>
                </c:pt>
                <c:pt idx="4">
                  <c:v>0.40500000000000008</c:v>
                </c:pt>
              </c:numCache>
            </c:numRef>
          </c:val>
        </c:ser>
        <c:axId val="204290688"/>
        <c:axId val="204289152"/>
      </c:barChart>
      <c:valAx>
        <c:axId val="204289152"/>
        <c:scaling>
          <c:orientation val="minMax"/>
        </c:scaling>
        <c:axPos val="b"/>
        <c:majorGridlines/>
        <c:numFmt formatCode="0%" sourceLinked="1"/>
        <c:tickLblPos val="nextTo"/>
        <c:crossAx val="204290688"/>
        <c:crosses val="autoZero"/>
        <c:crossBetween val="between"/>
      </c:valAx>
      <c:catAx>
        <c:axId val="204290688"/>
        <c:scaling>
          <c:orientation val="minMax"/>
        </c:scaling>
        <c:axPos val="l"/>
        <c:tickLblPos val="nextTo"/>
        <c:crossAx val="204289152"/>
        <c:crosses val="autoZero"/>
        <c:auto val="1"/>
        <c:lblAlgn val="ctr"/>
        <c:lblOffset val="100"/>
      </c:cat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0.04667</cdr:x>
      <cdr:y>0.04722</cdr:y>
    </cdr:from>
    <cdr:to>
      <cdr:x>0.98</cdr:x>
      <cdr:y>0.14167</cdr:y>
    </cdr:to>
    <cdr:sp macro="" textlink="">
      <cdr:nvSpPr>
        <cdr:cNvPr id="2" name="TextBox 1"/>
        <cdr:cNvSpPr txBox="1"/>
      </cdr:nvSpPr>
      <cdr:spPr>
        <a:xfrm xmlns:a="http://schemas.openxmlformats.org/drawingml/2006/main">
          <a:off x="213360" y="129540"/>
          <a:ext cx="426720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200" b="1"/>
            <a:t>Hospital</a:t>
          </a:r>
          <a:r>
            <a:rPr lang="en-US" sz="1200" b="1" baseline="0"/>
            <a:t> Discharges Fulton County Residents 2011</a:t>
          </a:r>
          <a:endParaRPr lang="en-US"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0.24</cdr:x>
      <cdr:y>0.02222</cdr:y>
    </cdr:from>
    <cdr:to>
      <cdr:x>0.82</cdr:x>
      <cdr:y>0.13889</cdr:y>
    </cdr:to>
    <cdr:sp macro="" textlink="">
      <cdr:nvSpPr>
        <cdr:cNvPr id="2" name="TextBox 1"/>
        <cdr:cNvSpPr txBox="1"/>
      </cdr:nvSpPr>
      <cdr:spPr>
        <a:xfrm xmlns:a="http://schemas.openxmlformats.org/drawingml/2006/main">
          <a:off x="1097280" y="60960"/>
          <a:ext cx="2651760" cy="32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0.04667</cdr:x>
      <cdr:y>0.025</cdr:y>
    </cdr:from>
    <cdr:to>
      <cdr:x>0.93083</cdr:x>
      <cdr:y>0.12778</cdr:y>
    </cdr:to>
    <cdr:sp macro="" textlink="">
      <cdr:nvSpPr>
        <cdr:cNvPr id="3" name="TextBox 2"/>
        <cdr:cNvSpPr txBox="1"/>
      </cdr:nvSpPr>
      <cdr:spPr>
        <a:xfrm xmlns:a="http://schemas.openxmlformats.org/drawingml/2006/main">
          <a:off x="213374" y="68580"/>
          <a:ext cx="4042395" cy="281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t>Nathan Littauer Discharges by County of Residence - 2011</a:t>
          </a:r>
        </a:p>
      </cdr:txBody>
    </cdr:sp>
  </cdr:relSizeAnchor>
</c:userShapes>
</file>

<file path=word/drawings/drawing3.xml><?xml version="1.0" encoding="utf-8"?>
<c:userShapes xmlns:c="http://schemas.openxmlformats.org/drawingml/2006/chart">
  <cdr:relSizeAnchor xmlns:cdr="http://schemas.openxmlformats.org/drawingml/2006/chartDrawing">
    <cdr:from>
      <cdr:x>0.367</cdr:x>
      <cdr:y>0.02364</cdr:y>
    </cdr:from>
    <cdr:to>
      <cdr:x>0.76814</cdr:x>
      <cdr:y>0.09456</cdr:y>
    </cdr:to>
    <cdr:sp macro="" textlink="">
      <cdr:nvSpPr>
        <cdr:cNvPr id="2" name="TextBox 1"/>
        <cdr:cNvSpPr txBox="1"/>
      </cdr:nvSpPr>
      <cdr:spPr>
        <a:xfrm xmlns:a="http://schemas.openxmlformats.org/drawingml/2006/main">
          <a:off x="1965960" y="76200"/>
          <a:ext cx="214884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0.29587</cdr:x>
      <cdr:y>0.01655</cdr:y>
    </cdr:from>
    <cdr:to>
      <cdr:x>0.85633</cdr:x>
      <cdr:y>0.06383</cdr:y>
    </cdr:to>
    <cdr:sp macro="" textlink="">
      <cdr:nvSpPr>
        <cdr:cNvPr id="3" name="TextBox 2"/>
        <cdr:cNvSpPr txBox="1"/>
      </cdr:nvSpPr>
      <cdr:spPr>
        <a:xfrm xmlns:a="http://schemas.openxmlformats.org/drawingml/2006/main">
          <a:off x="1584960" y="53340"/>
          <a:ext cx="3002280" cy="152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0.35562</cdr:x>
      <cdr:y>0</cdr:y>
    </cdr:from>
    <cdr:to>
      <cdr:x>0.76102</cdr:x>
      <cdr:y>0.08038</cdr:y>
    </cdr:to>
    <cdr:sp macro="" textlink="">
      <cdr:nvSpPr>
        <cdr:cNvPr id="4" name="TextBox 3"/>
        <cdr:cNvSpPr txBox="1"/>
      </cdr:nvSpPr>
      <cdr:spPr>
        <a:xfrm xmlns:a="http://schemas.openxmlformats.org/drawingml/2006/main">
          <a:off x="1905000" y="0"/>
          <a:ext cx="217170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Population</a:t>
          </a:r>
          <a:r>
            <a:rPr lang="en-US" sz="1100" b="1"/>
            <a:t> by Area</a:t>
          </a:r>
          <a:r>
            <a:rPr lang="en-US" sz="1100" b="1" baseline="0"/>
            <a:t> of Residence</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0.00667</cdr:x>
      <cdr:y>0.03333</cdr:y>
    </cdr:from>
    <cdr:to>
      <cdr:x>0.99333</cdr:x>
      <cdr:y>0.13333</cdr:y>
    </cdr:to>
    <cdr:sp macro="" textlink="">
      <cdr:nvSpPr>
        <cdr:cNvPr id="2" name="TextBox 1"/>
        <cdr:cNvSpPr txBox="1"/>
      </cdr:nvSpPr>
      <cdr:spPr>
        <a:xfrm xmlns:a="http://schemas.openxmlformats.org/drawingml/2006/main">
          <a:off x="30480" y="91440"/>
          <a:ext cx="451104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Fulton County Monthly Housing</a:t>
          </a:r>
          <a:r>
            <a:rPr lang="en-US" sz="1100" b="1" baseline="0"/>
            <a:t> Costs as a Percentage of Household Income </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0.02833</cdr:x>
      <cdr:y>0.09167</cdr:y>
    </cdr:from>
    <cdr:to>
      <cdr:x>0.99167</cdr:x>
      <cdr:y>0.20833</cdr:y>
    </cdr:to>
    <cdr:sp macro="" textlink="">
      <cdr:nvSpPr>
        <cdr:cNvPr id="2" name="TextBox 1"/>
        <cdr:cNvSpPr txBox="1"/>
      </cdr:nvSpPr>
      <cdr:spPr>
        <a:xfrm xmlns:a="http://schemas.openxmlformats.org/drawingml/2006/main">
          <a:off x="129540" y="251460"/>
          <a:ext cx="440436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0.07778</cdr:y>
    </cdr:from>
    <cdr:to>
      <cdr:x>0.97167</cdr:x>
      <cdr:y>0.17778</cdr:y>
    </cdr:to>
    <cdr:sp macro="" textlink="">
      <cdr:nvSpPr>
        <cdr:cNvPr id="3" name="TextBox 2"/>
        <cdr:cNvSpPr txBox="1"/>
      </cdr:nvSpPr>
      <cdr:spPr>
        <a:xfrm xmlns:a="http://schemas.openxmlformats.org/drawingml/2006/main">
          <a:off x="190500" y="213360"/>
          <a:ext cx="425196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t>Fulton County Housing Values 2010</a:t>
          </a:r>
        </a:p>
      </cdr:txBody>
    </cdr:sp>
  </cdr:relSizeAnchor>
</c:userShapes>
</file>

<file path=word/drawings/drawing6.xml><?xml version="1.0" encoding="utf-8"?>
<c:userShapes xmlns:c="http://schemas.openxmlformats.org/drawingml/2006/chart">
  <cdr:relSizeAnchor xmlns:cdr="http://schemas.openxmlformats.org/drawingml/2006/chartDrawing">
    <cdr:from>
      <cdr:x>0.03333</cdr:x>
      <cdr:y>0.03889</cdr:y>
    </cdr:from>
    <cdr:to>
      <cdr:x>0.88167</cdr:x>
      <cdr:y>0.37222</cdr:y>
    </cdr:to>
    <cdr:sp macro="" textlink="">
      <cdr:nvSpPr>
        <cdr:cNvPr id="2" name="TextBox 1"/>
        <cdr:cNvSpPr txBox="1"/>
      </cdr:nvSpPr>
      <cdr:spPr>
        <a:xfrm xmlns:a="http://schemas.openxmlformats.org/drawingml/2006/main">
          <a:off x="152400" y="106680"/>
          <a:ext cx="387858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0.04722</cdr:y>
    </cdr:from>
    <cdr:to>
      <cdr:x>0.99167</cdr:x>
      <cdr:y>0.25</cdr:y>
    </cdr:to>
    <cdr:sp macro="" textlink="">
      <cdr:nvSpPr>
        <cdr:cNvPr id="3" name="TextBox 2"/>
        <cdr:cNvSpPr txBox="1"/>
      </cdr:nvSpPr>
      <cdr:spPr>
        <a:xfrm xmlns:a="http://schemas.openxmlformats.org/drawingml/2006/main">
          <a:off x="190500" y="129540"/>
          <a:ext cx="4343400" cy="5562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42551</Words>
  <Characters>242543</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Community Health Needs Assessment</vt:lpstr>
    </vt:vector>
  </TitlesOfParts>
  <Company>Microsoft</Company>
  <LinksUpToDate>false</LinksUpToDate>
  <CharactersWithSpaces>284525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Needs Assessment</dc:title>
  <dc:subject>2013</dc:subject>
  <dc:creator>Draft</dc:creator>
  <cp:lastModifiedBy>cmcgrattan</cp:lastModifiedBy>
  <cp:revision>2</cp:revision>
  <cp:lastPrinted>2013-09-09T12:47:00Z</cp:lastPrinted>
  <dcterms:created xsi:type="dcterms:W3CDTF">2013-11-26T21:37:00Z</dcterms:created>
  <dcterms:modified xsi:type="dcterms:W3CDTF">2013-11-26T21:37:00Z</dcterms:modified>
</cp:coreProperties>
</file>